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2EE" w:rsidRPr="00A672EE" w:rsidRDefault="00A672EE" w:rsidP="00A672EE">
      <w:pPr>
        <w:jc w:val="center"/>
        <w:rPr>
          <w:b/>
        </w:rPr>
      </w:pPr>
      <w:r w:rsidRPr="00A672EE">
        <w:rPr>
          <w:b/>
        </w:rPr>
        <w:t>ΝΟΜΟΘΕΤΙΚΟ ΠΛΑΙΣΙΟ</w:t>
      </w:r>
    </w:p>
    <w:p w:rsidR="00A672EE" w:rsidRPr="007443D9" w:rsidRDefault="00A672EE" w:rsidP="00A672EE">
      <w:r w:rsidRPr="00A672EE">
        <w:t>Σύμβαση του ΟΗΕ για τη Βιοποικιλότητα</w:t>
      </w:r>
      <w:r w:rsidRPr="007443D9">
        <w:t>(</w:t>
      </w:r>
      <w:r w:rsidRPr="00A672EE">
        <w:rPr>
          <w:lang w:val="en-US"/>
        </w:rPr>
        <w:t>U</w:t>
      </w:r>
      <w:r w:rsidRPr="007443D9">
        <w:t xml:space="preserve">Ν </w:t>
      </w:r>
      <w:r w:rsidRPr="00A672EE">
        <w:rPr>
          <w:lang w:val="en-US"/>
        </w:rPr>
        <w:t>Convention</w:t>
      </w:r>
      <w:r w:rsidRPr="007443D9">
        <w:t xml:space="preserve"> </w:t>
      </w:r>
      <w:r w:rsidRPr="00A672EE">
        <w:rPr>
          <w:lang w:val="en-US"/>
        </w:rPr>
        <w:t>on</w:t>
      </w:r>
      <w:r w:rsidRPr="007443D9">
        <w:t xml:space="preserve"> </w:t>
      </w:r>
      <w:r w:rsidRPr="00A672EE">
        <w:rPr>
          <w:lang w:val="en-US"/>
        </w:rPr>
        <w:t>Biological</w:t>
      </w:r>
      <w:r w:rsidRPr="007443D9">
        <w:t xml:space="preserve"> </w:t>
      </w:r>
      <w:r w:rsidRPr="00A672EE">
        <w:rPr>
          <w:lang w:val="en-US"/>
        </w:rPr>
        <w:t>Diversity</w:t>
      </w:r>
      <w:r w:rsidRPr="007443D9">
        <w:t>)</w:t>
      </w:r>
    </w:p>
    <w:p w:rsidR="00A672EE" w:rsidRPr="007443D9" w:rsidRDefault="00A672EE" w:rsidP="00A672EE"/>
    <w:p w:rsidR="00A672EE" w:rsidRPr="00A672EE" w:rsidRDefault="00A672EE" w:rsidP="00A672EE">
      <w:r w:rsidRPr="007443D9">
        <w:tab/>
      </w:r>
      <w:r w:rsidRPr="00A672EE">
        <w:t xml:space="preserve">Το </w:t>
      </w:r>
      <w:r w:rsidRPr="00A672EE">
        <w:rPr>
          <w:lang w:val="en-US"/>
        </w:rPr>
        <w:t>N</w:t>
      </w:r>
      <w:proofErr w:type="spellStart"/>
      <w:r w:rsidRPr="00A672EE">
        <w:t>οέμβριο</w:t>
      </w:r>
      <w:proofErr w:type="spellEnd"/>
      <w:r w:rsidRPr="00A672EE">
        <w:t xml:space="preserve"> του 1988 το Πρόγραμμα Περιβάλλοντος του ΟΗΕ (</w:t>
      </w:r>
      <w:r w:rsidRPr="00A672EE">
        <w:rPr>
          <w:lang w:val="en-US"/>
        </w:rPr>
        <w:t>UNEP</w:t>
      </w:r>
      <w:r w:rsidRPr="00A672EE">
        <w:t>) δημιούργησε ένα ειδικό σώμα, το “</w:t>
      </w:r>
      <w:r w:rsidRPr="00A672EE">
        <w:rPr>
          <w:lang w:val="en-US"/>
        </w:rPr>
        <w:t>Ad</w:t>
      </w:r>
      <w:r w:rsidR="007443D9">
        <w:t xml:space="preserve"> </w:t>
      </w:r>
      <w:r w:rsidRPr="00A672EE">
        <w:rPr>
          <w:lang w:val="en-US"/>
        </w:rPr>
        <w:t>Hoc</w:t>
      </w:r>
      <w:r w:rsidR="007443D9">
        <w:t xml:space="preserve"> </w:t>
      </w:r>
      <w:r w:rsidRPr="00A672EE">
        <w:rPr>
          <w:lang w:val="en-US"/>
        </w:rPr>
        <w:t>Working</w:t>
      </w:r>
      <w:r w:rsidR="007443D9">
        <w:t xml:space="preserve"> </w:t>
      </w:r>
      <w:r w:rsidRPr="00A672EE">
        <w:rPr>
          <w:lang w:val="en-US"/>
        </w:rPr>
        <w:t>Group</w:t>
      </w:r>
      <w:r w:rsidR="007443D9">
        <w:t xml:space="preserve"> </w:t>
      </w:r>
      <w:r w:rsidRPr="00A672EE">
        <w:rPr>
          <w:lang w:val="en-US"/>
        </w:rPr>
        <w:t>of</w:t>
      </w:r>
      <w:r w:rsidR="007443D9">
        <w:t xml:space="preserve"> </w:t>
      </w:r>
      <w:r w:rsidRPr="00A672EE">
        <w:rPr>
          <w:lang w:val="en-US"/>
        </w:rPr>
        <w:t>Experts</w:t>
      </w:r>
      <w:r w:rsidR="007443D9">
        <w:t xml:space="preserve"> </w:t>
      </w:r>
      <w:r w:rsidRPr="00A672EE">
        <w:rPr>
          <w:lang w:val="en-US"/>
        </w:rPr>
        <w:t>on</w:t>
      </w:r>
      <w:r w:rsidR="007443D9">
        <w:t xml:space="preserve"> </w:t>
      </w:r>
      <w:r w:rsidRPr="00A672EE">
        <w:rPr>
          <w:lang w:val="en-US"/>
        </w:rPr>
        <w:t>Biological</w:t>
      </w:r>
      <w:r w:rsidR="007443D9">
        <w:t xml:space="preserve"> </w:t>
      </w:r>
      <w:r w:rsidRPr="00A672EE">
        <w:rPr>
          <w:lang w:val="en-US"/>
        </w:rPr>
        <w:t>Diversity</w:t>
      </w:r>
      <w:r w:rsidRPr="00A672EE">
        <w:t>”, για την επιστημονική μελέτη του προβλήματος της απώλειας της βιοποικιλότητας, ενώ τον Μάιο του 1989 ιδρύθηκε ένα “</w:t>
      </w:r>
      <w:proofErr w:type="spellStart"/>
      <w:r w:rsidRPr="00A672EE">
        <w:rPr>
          <w:lang w:val="en-US"/>
        </w:rPr>
        <w:t>AdHocWorkingGroupofTechnicalandLegalExperts</w:t>
      </w:r>
      <w:proofErr w:type="spellEnd"/>
      <w:r w:rsidRPr="00A672EE">
        <w:t>”, με σκοπό τη δημιουργία ενός διεθνούς νομικού οργάνου για την προστασία της βιοποικιλότητας. Τον Φεβρουάριο του 1991 δημιουργήθηκε η Διακυβερνητική Διαπραγματευτική Επιτροπή, η οποία οδήγησε σε Σύνοδο που πραγματοποιήθηκε στις 22 Μαΐου 1992, στο Ναϊρόμπι της Κένυας, για την Υιοθέτηση του Κειμένου Συμφωνίας για τη Σύμβαση της Βιοποικιλότητας. Η Σύμβαση του ΟΗΕ για τη Βιοποικιλότητα υπογράφηκε τελικά στις 5 Ιουνίου 1992, στη Παγκόσμια Διάσκεψη του Ρίο για το Περιβάλλον και τη Βιώσιμη Ανάπτυξη. Η Σύμβαση τέθηκε σε ισχύ στις 29 Δεκεμβρίου 1993. Η Ελλάδα έχει υπογράψει τη συγκεκριμένη Σύμβαση και την επικύρωσε με το Ν. 2204/1994.</w:t>
      </w:r>
    </w:p>
    <w:p w:rsidR="00A672EE" w:rsidRPr="00A672EE" w:rsidRDefault="00A672EE" w:rsidP="00A672EE"/>
    <w:p w:rsidR="00A672EE" w:rsidRPr="00A672EE" w:rsidRDefault="00A672EE" w:rsidP="00A672EE">
      <w:r w:rsidRPr="00A672EE">
        <w:tab/>
        <w:t xml:space="preserve">3.2 Άλλες </w:t>
      </w:r>
      <w:bookmarkStart w:id="0" w:name="_GoBack"/>
      <w:r w:rsidRPr="00A672EE">
        <w:t>Διεθνείς Συμφωνίες</w:t>
      </w:r>
      <w:bookmarkEnd w:id="0"/>
    </w:p>
    <w:p w:rsidR="00A672EE" w:rsidRPr="00A672EE" w:rsidRDefault="00A672EE" w:rsidP="00A672EE">
      <w:r w:rsidRPr="00A672EE">
        <w:tab/>
        <w:t xml:space="preserve">Άλλες Συνθήκες που σχετίζονται με το φυσικό περιβάλλον και την προστασία της βιοποικιλότητας είναι: </w:t>
      </w:r>
    </w:p>
    <w:p w:rsidR="00A672EE" w:rsidRPr="00A672EE" w:rsidRDefault="00A672EE" w:rsidP="00A672EE">
      <w:r w:rsidRPr="00A672EE">
        <w:t>•</w:t>
      </w:r>
      <w:r w:rsidRPr="00A672EE">
        <w:tab/>
        <w:t>η Σύμβαση Ραμσάρ για την προστασία των υγροτόπων, η οποία υπ</w:t>
      </w:r>
      <w:r w:rsidRPr="00A672EE">
        <w:rPr>
          <w:lang w:val="en-US"/>
        </w:rPr>
        <w:t>o</w:t>
      </w:r>
      <w:r w:rsidRPr="00A672EE">
        <w:t>γράφηκε στις 2 Φεβρουαρίου 1971 στην πόλη Ραμσάρ του Ιράν και τέθηκε σε ισχύ στις 21 Δεκεμβρίου 1975. Η Ελλάδα έχει υπογράψει τη Σύμβαση και την επικύρωσε με το Ν.191/1974, ανακηρύσσοντας 11 υγροτοπικές περιοχές, οι οποίες περιλαμβάνονται στον κατάλογο Υγροτόπων Διεθνούς Σημασίας.</w:t>
      </w:r>
    </w:p>
    <w:p w:rsidR="00A672EE" w:rsidRPr="00A672EE" w:rsidRDefault="00A672EE" w:rsidP="00A672EE">
      <w:r w:rsidRPr="00A672EE">
        <w:t>•</w:t>
      </w:r>
      <w:r w:rsidRPr="00A672EE">
        <w:tab/>
        <w:t>η Σύμβαση της Βέρνης, για τη διατήρηση της άγριας ζωής και του φυσικού περιβάλλοντος της Ευρώπης. Η Σύμβαση, η οποία καταρτίστηκε από το Συμβούλιο της Ευρώπης, υπογράφηκε στη Βέρνη της Ελβετίας στις 19 Σεπτεμβρίου 1979 και τέθηκε σε ισχύ την 1η Μαρτίου 2002. Η Ελλάδα έχει υπογράψει τη Σύμβαση και την επικύρωσε με το Ν. 1335/1983.</w:t>
      </w:r>
    </w:p>
    <w:p w:rsidR="00A672EE" w:rsidRPr="00A672EE" w:rsidRDefault="00A672EE" w:rsidP="00A672EE">
      <w:r w:rsidRPr="00A672EE">
        <w:t>•</w:t>
      </w:r>
      <w:r w:rsidRPr="00A672EE">
        <w:tab/>
        <w:t xml:space="preserve">η Σύμβαση </w:t>
      </w:r>
      <w:r w:rsidRPr="00A672EE">
        <w:rPr>
          <w:lang w:val="en-US"/>
        </w:rPr>
        <w:t>CITES</w:t>
      </w:r>
      <w:r w:rsidRPr="00A672EE">
        <w:t xml:space="preserve">, για το διεθνές εμπόριο άγριων ειδών πανίδας και χλωρίδας που απειλούνται με εξαφάνιση, η οποία υπογράφηκε στις 3 Μαρτίου 1973 στην Ουάσιγκτων των Η.Π.Α. και τέθηκε σε ισχύ την 1η Ιουλίου 1975. Η Σύμβαση </w:t>
      </w:r>
      <w:r w:rsidRPr="00A672EE">
        <w:rPr>
          <w:lang w:val="en-US"/>
        </w:rPr>
        <w:t>CITES</w:t>
      </w:r>
      <w:r w:rsidRPr="00A672EE">
        <w:t xml:space="preserve"> ρυθμίζει και ελέγχει το διεθνές εμπόριο των δειγμάτων, των μερών ή και των προϊόντων των ειδών, τα οποία προέρχονται από την άγρια πανίδα και την αυτοφυή χλωρίδα και τα οποία κινδυνεύουν με εξαφάνιση. Η Ελλάδα έχει υπογράψει τη Σύμβαση και την επικύρωσε με το Ν. 2055/1992.</w:t>
      </w:r>
    </w:p>
    <w:p w:rsidR="00A672EE" w:rsidRPr="00A672EE" w:rsidRDefault="00A672EE" w:rsidP="00A672EE">
      <w:r w:rsidRPr="00A672EE">
        <w:t>•</w:t>
      </w:r>
      <w:r w:rsidRPr="00A672EE">
        <w:tab/>
        <w:t xml:space="preserve">τη Σύμβαση της Βόννης, για τη διατήρηση των αποδημητικών ειδών της άγριας πανίδας, η οποία υπογράφηκε στη Βόννη στις 23 Ιουνίου 1979 και τέθηκε σε ισχύ την 1η Νοεμβρίου 1983. Η Σύμβαση έχει ως σκοπό την προστασία και τη διατήρηση των </w:t>
      </w:r>
      <w:r w:rsidRPr="00A672EE">
        <w:lastRenderedPageBreak/>
        <w:t xml:space="preserve">αποδημητικών ειδών της άγριας πανίδας, καθώς είναι ιδιαίτερα ευαίσθητα σε κινδύνους, όπως η συρρίκνωση των βιοτόπων αναπαραγωγής, το υπερβολικό κυνήγι κατά τις μεταναστευτικές διαδρομές και η υποβίβαση των περιοχών διατροφής. Η Σύμβαση της Βόννης παρέχει το πλαίσιο διεθνούς συνεργασίας, καθώς για την επιβίωση των ειδών αυτών απαιτείται συνεργασία και συντονισμένη δράση από όλα τα Κράτη της ζώνης εξάπλωσης τους. Η Ελλάδα έχει υπογράψει τη Σύμβαση και την επικύρωσε με το Ν. 2719/1999. </w:t>
      </w:r>
    </w:p>
    <w:p w:rsidR="00A672EE" w:rsidRPr="00A672EE" w:rsidRDefault="00A672EE" w:rsidP="00A672EE">
      <w:r w:rsidRPr="00A672EE">
        <w:tab/>
        <w:t xml:space="preserve">Οι κατευθύνσεις της Βόννης αποτελούν προαιρετικό όργανο εφαρμογής της </w:t>
      </w:r>
      <w:r w:rsidRPr="00A672EE">
        <w:rPr>
          <w:lang w:val="en-US"/>
        </w:rPr>
        <w:t>CDB</w:t>
      </w:r>
      <w:r w:rsidRPr="00A672EE">
        <w:t>. Βοηθούν τα μέρη να εκπονήσουν και να διαμορφώσουν τα διοικητικά, νομοθετικά και πολιτικά μέτρα που σχετίζονται με τη συγκεκριμένη πρόσβαση στους γενετικούς πόρους και την διανομή των εξ΄ αυτών οφελών. Οι συγκεκριμένες κατευθύνσεις ορίζουν επίσης το ρόλο και τις ευθύνες των χρηστών και των φορέων παροχής γενετικών πόρων. Η παρούσα ανακοίνωση εξετάζει τα μέτρα που έχει λάβει η Κοινότητα καθώς και τις πρωτοβουλίες εμπλεκομένων μερών στην Κοινότητα, όσον αφορά την πρόσβαση στους γενετικούς πόρους και τη διανομή των εξ΄ αυτών οφελών (</w:t>
      </w:r>
      <w:r w:rsidRPr="00A672EE">
        <w:rPr>
          <w:lang w:val="en-US"/>
        </w:rPr>
        <w:t>APA</w:t>
      </w:r>
      <w:r w:rsidRPr="00A672EE">
        <w:t xml:space="preserve">). Όσον αφορά την εφαρμογή των κατευθύνσεων, οι συμφωνίες για τη μεταφορά υλικού και οι κώδικες διαγωγής των εμπλεκομένων μερών αναφέρονται ως βασικά μέσα. Η Επιτροπή είναι της γνώμης ότι τα κάτωθι μέτρα θα μπορούσαν να ενθαρρύνουν τους χρήστες να ανταποκριθούν στις υποχρεώσεις που έχουν αναλάβει βάσει της </w:t>
      </w:r>
      <w:r w:rsidRPr="00A672EE">
        <w:rPr>
          <w:lang w:val="en-US"/>
        </w:rPr>
        <w:t>CDB</w:t>
      </w:r>
      <w:r w:rsidRPr="00A672EE">
        <w:t>:</w:t>
      </w:r>
    </w:p>
    <w:p w:rsidR="00A672EE" w:rsidRPr="00A672EE" w:rsidRDefault="00A672EE" w:rsidP="00A672EE">
      <w:proofErr w:type="gramStart"/>
      <w:r w:rsidRPr="00A672EE">
        <w:rPr>
          <w:lang w:val="en-US"/>
        </w:rPr>
        <w:t>o</w:t>
      </w:r>
      <w:proofErr w:type="gramEnd"/>
      <w:r w:rsidRPr="00A672EE">
        <w:tab/>
        <w:t xml:space="preserve">δημιουργία ενός ευρωπαϊκού δικτύου ανταποκριτών για θέματα </w:t>
      </w:r>
      <w:r w:rsidRPr="00A672EE">
        <w:rPr>
          <w:lang w:val="en-US"/>
        </w:rPr>
        <w:t>APA</w:t>
      </w:r>
    </w:p>
    <w:p w:rsidR="00A672EE" w:rsidRPr="00A672EE" w:rsidRDefault="00A672EE" w:rsidP="00A672EE">
      <w:proofErr w:type="gramStart"/>
      <w:r w:rsidRPr="00A672EE">
        <w:rPr>
          <w:lang w:val="en-US"/>
        </w:rPr>
        <w:t>o</w:t>
      </w:r>
      <w:proofErr w:type="gramEnd"/>
      <w:r w:rsidRPr="00A672EE">
        <w:tab/>
        <w:t>καθιέρωση ενός τμήματος πρόσβασης στους πόρους και διανομής των εξαυτών οφελών στο πλαίσιο του κέντρου ανταλλαγών της Κοινότητας για τη βιοποικιλότητα•</w:t>
      </w:r>
    </w:p>
    <w:p w:rsidR="00A672EE" w:rsidRPr="00A672EE" w:rsidRDefault="00A672EE" w:rsidP="00A672EE">
      <w:proofErr w:type="gramStart"/>
      <w:r w:rsidRPr="00A672EE">
        <w:rPr>
          <w:lang w:val="en-US"/>
        </w:rPr>
        <w:t>o</w:t>
      </w:r>
      <w:proofErr w:type="gramEnd"/>
      <w:r w:rsidRPr="00A672EE">
        <w:tab/>
        <w:t>συγκρότηση ενός αρχείου εμπλεκομένων μερών κατά κατηγορίες στο πλαίσιο του κέντρου ανταλλαγής της Κοινότητας.</w:t>
      </w:r>
    </w:p>
    <w:p w:rsidR="00A672EE" w:rsidRPr="00A672EE" w:rsidRDefault="00A672EE" w:rsidP="00A672EE">
      <w:r w:rsidRPr="00A672EE">
        <w:tab/>
        <w:t xml:space="preserve">Η ανακοίνωση τονίζει το διαιτητικό ρόλο που θα μπορούσαν να διαδραματίσουν οι ανταποκριτές </w:t>
      </w:r>
      <w:r w:rsidRPr="00A672EE">
        <w:rPr>
          <w:lang w:val="en-US"/>
        </w:rPr>
        <w:t>APA</w:t>
      </w:r>
      <w:r w:rsidRPr="00A672EE">
        <w:t xml:space="preserve"> για να διευκολύνουν την αντιμετώπιση των περιπτώσεων παράβασης των συμφωνιών </w:t>
      </w:r>
      <w:r w:rsidRPr="00A672EE">
        <w:rPr>
          <w:lang w:val="en-US"/>
        </w:rPr>
        <w:t>APA</w:t>
      </w:r>
      <w:r w:rsidRPr="00A672EE">
        <w:t>, καθώς και τον πιθανό ρόλο του κοινοτικού συστήματος περιβαλλοντικής διαχείρισης και ελέγχου (</w:t>
      </w:r>
      <w:r w:rsidRPr="00A672EE">
        <w:rPr>
          <w:lang w:val="en-US"/>
        </w:rPr>
        <w:t>EMAS</w:t>
      </w:r>
      <w:r w:rsidRPr="00A672EE">
        <w:t>) ως ενός συστήματος προαιρετικής πιστοποίησης των οργανισμών που τηρούν τις κατευθύνσεις της Βόννης.</w:t>
      </w:r>
    </w:p>
    <w:p w:rsidR="00A672EE" w:rsidRPr="00A672EE" w:rsidRDefault="00A672EE" w:rsidP="00A672EE">
      <w:r w:rsidRPr="00A672EE">
        <w:tab/>
        <w:t>Για να διευκολυνθεί η εφαρμογή των κατευθύνσεων της Βόννης σε τρίτες χώρες, η ανακοίνωση υπογραμμίζει τη σημασία της εφαρμογής του προγράμματος δράσης υπέρ της βιοποικιλότητας στον τομέα της οικονομικής συνεργασίας και της αναπτυξιακής βοήθειας καθώς και της επικοινωνίας της Επιτροπής όσον αφορά τις επιστήμες των έμβιων όντων και τη βιοτεχνολογία. Τέλος η ανακοίνωση τονίζει το ρόλο της Κοινότητας όσον αφορά την εφαρμογή διαφανούς διεθνούς καθεστώτος για θέματα πρόσβασης στους γενετικούς πόρους και τη διανομή των εξ΄ αυτών οφελών.</w:t>
      </w:r>
    </w:p>
    <w:p w:rsidR="00A672EE" w:rsidRPr="00A672EE" w:rsidRDefault="00A672EE" w:rsidP="00A672EE">
      <w:r w:rsidRPr="00A672EE">
        <w:t>Θα πρέπει επιπλέον να σημειωθεί ότι το φυσικό περιβάλλον (</w:t>
      </w:r>
      <w:r w:rsidRPr="00A672EE">
        <w:rPr>
          <w:lang w:val="en-US"/>
        </w:rPr>
        <w:t>habitat</w:t>
      </w:r>
      <w:r w:rsidRPr="00A672EE">
        <w:t xml:space="preserve">), και συνεπώς και η βιοποικιλότητα, επηρεάζονται σημαντικά από παράγοντες, όπως οι κλιματικές αλλαγές και η ερημοποίηση. Οι παράγοντες αυτοί αποτελούν σημαντικά προβλήματα για το περιβάλλον και τη βιώσιμη ανάπτυξη και για την αντιμετώπιση τους έχουν επίσης θεσπιστεί διεθνείς </w:t>
      </w:r>
      <w:r w:rsidRPr="00A672EE">
        <w:lastRenderedPageBreak/>
        <w:t>Συμβάσεις. Συνεπώς, παρουσιάζεται επιτακτική η ανάγκη για τη συνεργασία ανάμεσα στις Γραμματείες των διεθνών περιβαλλοντικών Συμβάσεων, καθώς τα περιβαλλοντικά προβλήματα τα οποία πρέπει να αντιμετωπιστούν είναι άμεσα συνδεδεμένα μεταξύ τους.</w:t>
      </w:r>
    </w:p>
    <w:p w:rsidR="00A672EE" w:rsidRPr="00A672EE" w:rsidRDefault="00A672EE" w:rsidP="00A672EE">
      <w:r w:rsidRPr="00A672EE">
        <w:rPr>
          <w:lang w:val="en-US"/>
        </w:rPr>
        <w:t>NATURA</w:t>
      </w:r>
      <w:r w:rsidRPr="00A672EE">
        <w:t xml:space="preserve"> 2000</w:t>
      </w:r>
    </w:p>
    <w:p w:rsidR="00A672EE" w:rsidRPr="00A672EE" w:rsidRDefault="00A672EE" w:rsidP="00A672EE">
      <w:r w:rsidRPr="00A672EE">
        <w:tab/>
        <w:t xml:space="preserve">Το </w:t>
      </w:r>
      <w:proofErr w:type="spellStart"/>
      <w:r w:rsidRPr="00A672EE">
        <w:rPr>
          <w:lang w:val="en-US"/>
        </w:rPr>
        <w:t>Natura</w:t>
      </w:r>
      <w:proofErr w:type="spellEnd"/>
      <w:r w:rsidRPr="00A672EE">
        <w:t xml:space="preserve"> 2000 είναι ένα πανευρωπαϊκό δίκτυο προστασίας των ειδών και των ενδιαιτημάτων τους. Το δίκτυο </w:t>
      </w:r>
      <w:proofErr w:type="spellStart"/>
      <w:r w:rsidRPr="00A672EE">
        <w:rPr>
          <w:lang w:val="en-US"/>
        </w:rPr>
        <w:t>Natura</w:t>
      </w:r>
      <w:proofErr w:type="spellEnd"/>
      <w:r w:rsidRPr="00A672EE">
        <w:t xml:space="preserve"> 2000 αποτελεί ένα από τα πιο φιλόδοξα ευρωπαϊκά προγράμματα για την προστασία της φύσης και ακρογωνιαίο λίθο της πολιτικής της Ε.Ε. για τη διατήρηση της φύσης. Ιδρύθηκε τον Μάιο του 1992 με την υιοθέτηση της οδηγίας των οικοτόπων η οποία συμπληρώνει την οδηγία για τα πουλιά (79/409/ΕΟΚ) και από κοινού αποτελούν την νομική βάση του δικτύου. Η Οδηγία για την προστασία των άγριων πτηνών απαιτούσε την δημιουργία Ειδικών Ζωνών Προστασίας (</w:t>
      </w:r>
      <w:r w:rsidRPr="00A672EE">
        <w:rPr>
          <w:lang w:val="en-US"/>
        </w:rPr>
        <w:t>SpecialProtectionAreas</w:t>
      </w:r>
      <w:r w:rsidRPr="00A672EE">
        <w:t xml:space="preserve"> - </w:t>
      </w:r>
      <w:r w:rsidRPr="00A672EE">
        <w:rPr>
          <w:lang w:val="en-US"/>
        </w:rPr>
        <w:t>SPA</w:t>
      </w:r>
      <w:r w:rsidRPr="00A672EE">
        <w:t>) της ορνιθοπανίδας. Η Οδηγία των Οικοτόπων παρομοίως απαιτούσε τη δημιουργία Ειδικών Ζωνών Προστασίας (</w:t>
      </w:r>
      <w:r w:rsidRPr="00A672EE">
        <w:rPr>
          <w:lang w:val="en-US"/>
        </w:rPr>
        <w:t>SpecialAreasofConservation</w:t>
      </w:r>
      <w:r w:rsidRPr="00A672EE">
        <w:t xml:space="preserve"> - </w:t>
      </w:r>
      <w:r w:rsidRPr="00A672EE">
        <w:rPr>
          <w:lang w:val="en-US"/>
        </w:rPr>
        <w:t>SAC</w:t>
      </w:r>
      <w:r w:rsidRPr="00A672EE">
        <w:t>) για τα υπόλοιπα είδη και το περιβάλλον. Από κοινού αυτές οι ζώνες δημιουργούν τις περιοχές του δικτύου Ν</w:t>
      </w:r>
      <w:proofErr w:type="spellStart"/>
      <w:r w:rsidRPr="00A672EE">
        <w:rPr>
          <w:lang w:val="en-US"/>
        </w:rPr>
        <w:t>atura</w:t>
      </w:r>
      <w:proofErr w:type="spellEnd"/>
      <w:r w:rsidRPr="00A672EE">
        <w:t xml:space="preserve"> 2000. Κάθε χώρα μέλος της Ευρωπαϊκής Ένωσης οφείλει να καταρτίσει μία λίστα με τις καλύτερες περιοχές οι οποίες περιέχουν είδη που περιλαμβάνονται στις δύο οδηγίες. Έπειτα η λίστα πρέπει να υποβληθεί στην Ευρωπαϊκή Επιτροπή και η οποία, μετά από τον έλεγχο και την διαδικασία επιλογής σε ευρωπαϊκό επίπεδο, θα ενταχθεί στο δίκτυο.</w:t>
      </w:r>
    </w:p>
    <w:p w:rsidR="00A672EE" w:rsidRPr="00A672EE" w:rsidRDefault="00A672EE" w:rsidP="00A672EE">
      <w:r w:rsidRPr="00A672EE">
        <w:tab/>
        <w:t xml:space="preserve">Το δίκτυο </w:t>
      </w:r>
      <w:proofErr w:type="spellStart"/>
      <w:r w:rsidRPr="00A672EE">
        <w:rPr>
          <w:lang w:val="en-US"/>
        </w:rPr>
        <w:t>Natura</w:t>
      </w:r>
      <w:proofErr w:type="spellEnd"/>
      <w:r w:rsidRPr="00A672EE">
        <w:t xml:space="preserve"> 2000 προστατεύει το 18% του εδάφους στις 15 χώρες που αποτελούσαν την Ευρωπαϊκή Ένωση πριν την είσοδο των νέων χωρών μελών του 2004, ενώ διαπραγματεύεται τον αριθμό και το μέγεθος των προστατευμένων ζωνών για κάθε μία από τις δέκα νέες χώρες.</w:t>
      </w:r>
    </w:p>
    <w:p w:rsidR="00A672EE" w:rsidRPr="00A672EE" w:rsidRDefault="00A672EE" w:rsidP="00A672EE">
      <w:r w:rsidRPr="00A672EE">
        <w:tab/>
        <w:t xml:space="preserve">Οι περιοχές </w:t>
      </w:r>
      <w:proofErr w:type="spellStart"/>
      <w:r w:rsidRPr="00A672EE">
        <w:rPr>
          <w:lang w:val="en-US"/>
        </w:rPr>
        <w:t>Natura</w:t>
      </w:r>
      <w:proofErr w:type="spellEnd"/>
      <w:r w:rsidRPr="00A672EE">
        <w:t xml:space="preserve"> 2000 μπορούν επιπλέον να ενταχθούν σε οποιαδήποτε από τις  παραπάνω κατηγορίες προστασίας.  </w:t>
      </w:r>
    </w:p>
    <w:p w:rsidR="00A672EE" w:rsidRPr="00A672EE" w:rsidRDefault="00A672EE" w:rsidP="00A672EE">
      <w:r w:rsidRPr="00A672EE">
        <w:t xml:space="preserve">1.  Ο χαρακτηρισμός, η οριοθέτηση, η διαχείριση και οι επιτρεπόμενες χρήσεις στις  προστατευόμενες περιοχές των κατηγοριών Α και Β  ορίζονται με προεδρικό  </w:t>
      </w:r>
    </w:p>
    <w:p w:rsidR="00A672EE" w:rsidRPr="00A672EE" w:rsidRDefault="00A672EE" w:rsidP="00A672EE">
      <w:r w:rsidRPr="00A672EE">
        <w:t xml:space="preserve">διάταγμα το οποίο εκδίδεται κατά τις διατάξεις των άρθρων  21 του  ν. 1650/1986  και 15 του ν. 2742/1999.  </w:t>
      </w:r>
    </w:p>
    <w:p w:rsidR="00A672EE" w:rsidRPr="00A672EE" w:rsidRDefault="00A672EE" w:rsidP="00A672EE">
      <w:r w:rsidRPr="00A672EE">
        <w:t xml:space="preserve">2.  Το Υπουργεί Περιβάλλοντος,  Ενέργειας και Κλιματικής Αλλαγής λαμβάνει  κάθε  αναγκαίο προληπτικό και κατασταλτικό  μέσο και συντονίζει τις  δράσεις  για  την προστασία και  τη  διαχείριση των προστατευόμενων περιοχών της παραγράφου  1 του παρόντος κεφαλαίου.  </w:t>
      </w:r>
    </w:p>
    <w:p w:rsidR="00A672EE" w:rsidRPr="00A672EE" w:rsidRDefault="00A672EE" w:rsidP="00A672EE">
      <w:r w:rsidRPr="00A672EE">
        <w:t xml:space="preserve">3.  Το πρώτο και το δεύτερο εδάφιο της παραγράφου 1 του άρθρου 21 του ν. 1650/1986 αντικαθίστανται ως εξής:   </w:t>
      </w:r>
    </w:p>
    <w:p w:rsidR="00A672EE" w:rsidRPr="00A672EE" w:rsidRDefault="00A672EE" w:rsidP="00A672EE">
      <w:r w:rsidRPr="00A672EE">
        <w:t xml:space="preserve">«Για τον χαρακτηρισμό των προστατευόμενων  περιοχών  που  προβλέπονται  στο  άρθρο 19 του  παρόντος, την οριοθέτηση και τον καθορισμό των  επιτρεπόμενων  χρήσεων γης  και  των δραστηριοτήτων εντός αυτών εκδίδεται  με πρόταση του Υπουργού  Περιβάλλοντος, Ενέργειας  και  Κλιματικής Αλλαγής Προεδρικό  Διάταγμα, κατόπιν  γνωμοδοτήσεως των  οικείων νομαρχιακών  συμβουλίων και σύμφωνης γνώμης της  Επιτροπής «Φύση», σε </w:t>
      </w:r>
      <w:r w:rsidRPr="00A672EE">
        <w:lastRenderedPageBreak/>
        <w:t xml:space="preserve">εφαρμογή  Ειδικής  Περιβαλλοντικής  Μελέτης. Με απόφαση του Υπουργού Περιβάλλοντος, Ενέργειας και Κλιματικής Αλλαγής, καθορίζεται  η διαδικασία κατάρτισης και το περιεχόμενο της  Ειδικής  Περιβαλλοντικής  Μελέτης,  στο  οποίο κατά περίπτωση περιλαμβάνονται ιδίως η αξιολόγηση  της  κατάστασης διατήρησης  της προστατευόμενης  </w:t>
      </w:r>
    </w:p>
    <w:p w:rsidR="00A672EE" w:rsidRPr="00A672EE" w:rsidRDefault="00A672EE" w:rsidP="00A672EE">
      <w:r w:rsidRPr="00A672EE">
        <w:t xml:space="preserve">περιοχής, η σημασία της, η σκοπιμότητα των προτεινόμενων μέτρων προστασίας,  και το σχέδιο προσαρμογής της στις επιπτώσεις της κλιματικής αλλαγής».  </w:t>
      </w:r>
    </w:p>
    <w:p w:rsidR="00A672EE" w:rsidRPr="00A672EE" w:rsidRDefault="00A672EE" w:rsidP="00A672EE">
      <w:r w:rsidRPr="00A672EE">
        <w:tab/>
        <w:t>Οι διατάξεις των εδαφίων του παρόντος κεφαλαίου υπερισχύουν κάθε αντίθετης</w:t>
      </w:r>
    </w:p>
    <w:p w:rsidR="00A672EE" w:rsidRPr="00A672EE" w:rsidRDefault="00A672EE" w:rsidP="00A672EE">
      <w:r w:rsidRPr="00A672EE">
        <w:t>διάταξης νόμου.</w:t>
      </w:r>
    </w:p>
    <w:p w:rsidR="00A672EE" w:rsidRDefault="00A672EE" w:rsidP="00A672EE"/>
    <w:p w:rsidR="00A672EE" w:rsidRPr="00A672EE" w:rsidRDefault="00A672EE" w:rsidP="00A672EE">
      <w:r w:rsidRPr="00A672EE">
        <w:t>Ρυθμίσεις για την προστασία και διαχείριση των  περιοχών  του Δικτύου</w:t>
      </w:r>
      <w:r w:rsidR="0094058E">
        <w:t xml:space="preserve"> </w:t>
      </w:r>
      <w:r w:rsidRPr="00A672EE">
        <w:t xml:space="preserve"> </w:t>
      </w:r>
      <w:proofErr w:type="spellStart"/>
      <w:r w:rsidRPr="00A672EE">
        <w:rPr>
          <w:lang w:val="en-US"/>
        </w:rPr>
        <w:t>Natura</w:t>
      </w:r>
      <w:proofErr w:type="spellEnd"/>
      <w:r w:rsidRPr="00A672EE">
        <w:t xml:space="preserve"> </w:t>
      </w:r>
      <w:r w:rsidR="0094058E">
        <w:t xml:space="preserve"> </w:t>
      </w:r>
      <w:r w:rsidRPr="00A672EE">
        <w:t xml:space="preserve">2000   </w:t>
      </w:r>
    </w:p>
    <w:p w:rsidR="00A672EE" w:rsidRPr="00A672EE" w:rsidRDefault="00A672EE" w:rsidP="00A672EE">
      <w:r w:rsidRPr="00A672EE">
        <w:tab/>
        <w:t>Στις περιοχές του Δικτύου</w:t>
      </w:r>
      <w:r w:rsidR="0094058E">
        <w:t xml:space="preserve"> </w:t>
      </w:r>
      <w:r w:rsidRPr="00A672EE">
        <w:t xml:space="preserve"> </w:t>
      </w:r>
      <w:proofErr w:type="spellStart"/>
      <w:r w:rsidRPr="00A672EE">
        <w:rPr>
          <w:lang w:val="en-US"/>
        </w:rPr>
        <w:t>Natura</w:t>
      </w:r>
      <w:proofErr w:type="spellEnd"/>
      <w:r w:rsidR="0094058E">
        <w:t xml:space="preserve"> </w:t>
      </w:r>
      <w:r w:rsidRPr="00A672EE">
        <w:t xml:space="preserve"> 2000 ισχύουν οι εξής περιορισμοί:  </w:t>
      </w:r>
    </w:p>
    <w:p w:rsidR="00A672EE" w:rsidRPr="00A672EE" w:rsidRDefault="00A672EE" w:rsidP="00A672EE">
      <w:r w:rsidRPr="00A672EE">
        <w:t xml:space="preserve">α)  Απαγορεύεται  η εγκατάσταση ιδιαιτέρως </w:t>
      </w:r>
      <w:proofErr w:type="spellStart"/>
      <w:r w:rsidRPr="00A672EE">
        <w:t>οχλουσών</w:t>
      </w:r>
      <w:proofErr w:type="spellEnd"/>
      <w:r w:rsidRPr="00A672EE">
        <w:t xml:space="preserve"> και επικίνδυνων  βιομηχανικών εγκαταστάσεων που εμπίπτουν στις διατάξεις της Οδηγίας  96/82/ΕΚ (</w:t>
      </w:r>
      <w:proofErr w:type="spellStart"/>
      <w:r w:rsidRPr="00A672EE">
        <w:rPr>
          <w:lang w:val="en-US"/>
        </w:rPr>
        <w:t>Seveso</w:t>
      </w:r>
      <w:proofErr w:type="spellEnd"/>
      <w:r w:rsidRPr="00A672EE">
        <w:t xml:space="preserve">).  </w:t>
      </w:r>
    </w:p>
    <w:p w:rsidR="00A672EE" w:rsidRPr="00A672EE" w:rsidRDefault="00A672EE" w:rsidP="00A672EE">
      <w:r w:rsidRPr="00A672EE">
        <w:t xml:space="preserve">β)  Απαγορεύεται η εγκατάσταση βιομηχανικών εγκαταστάσεων  υψηλής όχλησης,  όπως αυτές ορίζονται στο Παράρτημα της ΚΥΑ 13727/724/2003 (ΦΕΚ Β, 1087/5.8. 03).  </w:t>
      </w:r>
    </w:p>
    <w:p w:rsidR="00A672EE" w:rsidRPr="00A672EE" w:rsidRDefault="00A672EE" w:rsidP="00A672EE">
      <w:r w:rsidRPr="00A672EE">
        <w:t xml:space="preserve">γ)  Απαγορεύεται η </w:t>
      </w:r>
      <w:r w:rsidR="0094058E">
        <w:t xml:space="preserve"> </w:t>
      </w:r>
      <w:proofErr w:type="spellStart"/>
      <w:r w:rsidRPr="00A672EE">
        <w:t>χωροθέτηση</w:t>
      </w:r>
      <w:proofErr w:type="spellEnd"/>
      <w:r w:rsidRPr="00A672EE">
        <w:t xml:space="preserve">  Βιομηχανικών,  Βιοτεχνικών και  Επιχειρηματικών  Περιοχών, σύμφωνα με τις διατάξεις της κείμενης νομοθεσίας.  </w:t>
      </w:r>
    </w:p>
    <w:p w:rsidR="00A672EE" w:rsidRPr="00A672EE" w:rsidRDefault="00A672EE" w:rsidP="00A672EE">
      <w:r w:rsidRPr="00A672EE">
        <w:t xml:space="preserve">δ)  Απαγορεύεται  η εντατική άσκηση της γεωργίας και της κτηνοτροφίας και η  χρήση μη φιλικών προς το περιβάλλον μεθόδων παραγωγής γεωργικών και κτηνοτροφικών προϊόντων.  </w:t>
      </w:r>
    </w:p>
    <w:p w:rsidR="00A672EE" w:rsidRPr="00A672EE" w:rsidRDefault="00A672EE" w:rsidP="00A672EE">
      <w:r w:rsidRPr="00A672EE">
        <w:t xml:space="preserve">ε)  Απαγορεύεται η τοποθέτηση  κάθε είδους διαφημιστικών πινακίδων,  πλην  εκείνων που ενημερώνουν τον επισκέπτη για την περιοχή ή προωθούν τις ήπιες  φυσιολατρικές δραστηριότητες.   </w:t>
      </w:r>
    </w:p>
    <w:p w:rsidR="00A672EE" w:rsidRPr="00A672EE" w:rsidRDefault="00A672EE" w:rsidP="00A672EE">
      <w:r w:rsidRPr="00A672EE">
        <w:t xml:space="preserve">στ) Απαγορεύεται η θήρα στις Ζώνες Ειδικής Προστασίας.  </w:t>
      </w:r>
    </w:p>
    <w:p w:rsidR="00A672EE" w:rsidRPr="00A672EE" w:rsidRDefault="00A672EE" w:rsidP="00A672EE">
      <w:r w:rsidRPr="00A672EE">
        <w:t xml:space="preserve">ζ)  Απαγορεύεται  η  αλιεία  με  συρόμενα  εργαλεία  σε  λιβάδια  Ποσειδωνίας  (οικότοπος  προτεραιότητας 1120)  και η  αλιεία με συρόμενα εργαλεία σε περιοχές  με κοραλλιογενείς σχηματισμούς επίπεδου  και εδραίου τύπου  αντίστοιχα  (ύφαλοι ‐ οικότοπος 1170). </w:t>
      </w:r>
    </w:p>
    <w:p w:rsidR="00A672EE" w:rsidRPr="00A672EE" w:rsidRDefault="00A672EE" w:rsidP="00A672EE">
      <w:r w:rsidRPr="00A672EE">
        <w:t xml:space="preserve">η)  Απαγορεύεται  η  εγκατάσταση  και  λειτουργία  ιχθυοκαλλιεργειών  εντατικής  μορφής.  Ειδικότερα, απαγορεύεται πλήρως η εγκατάσταση και λειτουργία  ιχθυοκαλλιεργειώνσε περιοχές με λιβάδια Ποσειδωνίας  (οικότοπος  προτεραιότητας 1120).  </w:t>
      </w:r>
    </w:p>
    <w:p w:rsidR="00A672EE" w:rsidRPr="00A672EE" w:rsidRDefault="00A672EE" w:rsidP="00A672EE">
      <w:r w:rsidRPr="00A672EE">
        <w:t xml:space="preserve">θ)  Απαγορεύεται το αγκυροβόλιο σε περιοχές με  λιβάδια  Ποσειδωνίας  (οικότοπος  προτεραιότητας 1120) και σε περιοχές με κοραλλιογενείς σχηματισμούς  (ύφαλοι ‐ οικότοπος 1170).  </w:t>
      </w:r>
    </w:p>
    <w:p w:rsidR="00A672EE" w:rsidRPr="00A672EE" w:rsidRDefault="00A672EE" w:rsidP="00A672EE">
      <w:r w:rsidRPr="00A672EE">
        <w:lastRenderedPageBreak/>
        <w:tab/>
        <w:t xml:space="preserve">Κάθε σχέδιο ή έργο  ή  δραστηριότητα  μη  άμεσα  συνδεόμενο  ή  αναγκαίο  για  τη  διαχείριση του τόπου, το  οποίο  όμως  είναι  δυνατόν  να  επηρεάζει  σημαντικά  τον  εν  λόγω  τόπο,  καθεαυτό  ή  από κοινού με  άλλα σχέδια, υπόκειται  σε  μελέτη  περιβαλλοντικών  επιπτώσεων,  με έμφαση στα αντικείμενα προστασίας,  λαμβανομένων υπόψη  τω  στόχων  διατήρησής του.  Η έγκριση περιβαλλοντικών  όρων χορηγείται από τον Υπουργό Περιβάλλοντος,  Ενέργειας  και  Κλιματικής  Αλλαγής, ύστερα  από γνωμοδότηση της  Διεύθυνσης  Βιοποικιλότητας  του  Υπουργείου που αφορά την  επιστημονική  τεκμηρίωση για  τις  επιπτώσεις του  σχεδίου ή έργου ή δραστηριότητας  στην κατάσταση  διατήρησης της περιοχής  και τα αντισταθμιστικά μέτρα  και όρους ελαχιστοποίησης  των επιπτώσεων αυτών.      </w:t>
      </w:r>
    </w:p>
    <w:p w:rsidR="00A672EE" w:rsidRPr="00A672EE" w:rsidRDefault="00A672EE" w:rsidP="00A672EE">
      <w:r w:rsidRPr="00A672EE">
        <w:tab/>
        <w:t xml:space="preserve">Παράλληλα, επιτρέπεται η εγκατάσταση μονάδων ηλεκτροπαραγωγής  από ανανεώσιμες  πηγές ενέργειας και η δημιουργία αιολικών πάρκων  κατά τη  διαδικασία της προηγούμενης παραγράφου.   </w:t>
      </w:r>
    </w:p>
    <w:p w:rsidR="00A672EE" w:rsidRPr="00A672EE" w:rsidRDefault="00A672EE" w:rsidP="00A672EE">
      <w:r w:rsidRPr="00A672EE">
        <w:tab/>
        <w:t xml:space="preserve">Ειδικότερα, κατά τη χωροθέτηση αιολικών πάρκων σε Ζώνες Ειδικής  Προστασίας, η ορνιθολογική μελέτη που  προβλέπεται στη παρ. 3 του αρ. 6 της ΚΥΑ  49828/  ΦΕΚ  Β’  2464/3.12.2008  περιλαμβάνει ανάλυση των  αποτελεσμάτων προηγούμενης  παρακολούθησης της ορνιθοπανίδας  της περιοχής  και λαμβάνεται  υπόψη κατά την τεχνική μελέτη του αιολικού πάρκου  για τη  χωροθέτηση των ανεμογεννητριών, σε συνδυασμό με τα  ήδη υφιστάμενα αιολικά πάρκα εντός της ίδι ας Ζώνης.   </w:t>
      </w:r>
    </w:p>
    <w:p w:rsidR="00A672EE" w:rsidRPr="00A672EE" w:rsidRDefault="00A672EE" w:rsidP="00A672EE">
      <w:r w:rsidRPr="00A672EE">
        <w:tab/>
        <w:t xml:space="preserve">Κατά τη διαδικασία της εκτίμησης των περιβαλλοντικών επιπτώσεων των  μονάδων του  εδαφίου  β. της παρούσας  παραγράφου, μπορούν να ζητούνται  από  τους ενδιαφερόμενους πρόσθετα στοιχεία, τα οποία  κρίνονται  ως  αναγκαία  για  την  ολοκληρωμένη  περιβαλλοντική  εκτίμηση  σε  συνδυασμό  με  άλλες ήδη υφιστάμενες εγκαταστάσεις  ηλεκτροπαραγωγής  από  ΑΠΕ  εντός  της  ίδιας  περιοχής.  Βάσει της προαναφερόμενης εκτίμησης  και  των  πρόσθετων  στοιχείων,  ο  Υπουργός  Περιβάλλοντος, Ενέργειας  και  Κλιματικής  Αλλαγής  συνεκτιμά  τη  συνεργιστική  δράση  σε  συνδυασμό  με  τις προϋπάρχουσες  εγκαταστάσεις  ΑΠΕ  εντός  της  ίδιας  περιοχής  και  να  αρνείται  τη  χωροθέτηση  μόνο εφόσον τεκμηριώνεται  επιστημονικά  ότι  δεν  λαμβάνονται  επαρκή  αντισταθμιστικά  μέτρα και ότι υφίσταται  σημαντική απειλή για την κατάσταση διατήρησής της.  </w:t>
      </w:r>
    </w:p>
    <w:p w:rsidR="00A672EE" w:rsidRPr="00A672EE" w:rsidRDefault="00A672EE" w:rsidP="00A672EE">
      <w:r w:rsidRPr="00A672EE">
        <w:tab/>
        <w:t xml:space="preserve">Ειδικότερα σε </w:t>
      </w:r>
      <w:proofErr w:type="spellStart"/>
      <w:r w:rsidRPr="00A672EE">
        <w:t>σχέσημε</w:t>
      </w:r>
      <w:proofErr w:type="spellEnd"/>
      <w:r w:rsidRPr="00A672EE">
        <w:t xml:space="preserve"> τις θαλάσσιες περιοχές </w:t>
      </w:r>
      <w:proofErr w:type="spellStart"/>
      <w:r w:rsidRPr="00A672EE">
        <w:rPr>
          <w:lang w:val="en-US"/>
        </w:rPr>
        <w:t>Natura</w:t>
      </w:r>
      <w:proofErr w:type="spellEnd"/>
      <w:r w:rsidRPr="00A672EE">
        <w:t xml:space="preserve"> 2000,  το Υπουργείο  Περιβάλλοντος, Ενέργειας και Κλιματικής Αλλαγής αναλαμβάνει την καταγραφή και επιστημονική παρακολούθηση  της κατάστασης διατήρησης των θαλάσσιων  </w:t>
      </w:r>
      <w:proofErr w:type="spellStart"/>
      <w:r w:rsidRPr="00A672EE">
        <w:t>οικοτόπων</w:t>
      </w:r>
      <w:proofErr w:type="spellEnd"/>
      <w:r w:rsidRPr="00A672EE">
        <w:t xml:space="preserve"> και ειδών χλωρίδας και πανίδας,  σε συνεργασία  με  ερευνητικά κέντρα  και μη κυβερνητικές οργανώσεις που διαθέτουν  αποδεδειγμένη  επιστημονική </w:t>
      </w:r>
      <w:proofErr w:type="spellStart"/>
      <w:r w:rsidRPr="00A672EE">
        <w:t>εμπειρία.Τα</w:t>
      </w:r>
      <w:proofErr w:type="spellEnd"/>
      <w:r w:rsidRPr="00A672EE">
        <w:t xml:space="preserve"> δεδομένα που προκύπτουν από την καταγραφή και επιστημονική παρακολούθηση αναρτώνται στο διαδίκτυο σε μορφή εύκολα </w:t>
      </w:r>
      <w:proofErr w:type="spellStart"/>
      <w:r w:rsidRPr="00A672EE">
        <w:t>προσβάσι</w:t>
      </w:r>
      <w:proofErr w:type="spellEnd"/>
      <w:r w:rsidRPr="00A672EE">
        <w:t xml:space="preserve"> μη από κάθε ενδιαφερόμενο πολίτη.  </w:t>
      </w:r>
    </w:p>
    <w:p w:rsidR="00A672EE" w:rsidRPr="00A672EE" w:rsidRDefault="00A672EE" w:rsidP="00A672EE">
      <w:r w:rsidRPr="00A672EE">
        <w:tab/>
        <w:t>Με βάση τα επιστημονικά δεδομένα που προκύπτουν από την ανωτέρω  καταγραφή και επιστημονική παρακολούθηση, το Υπουργείο  Περιβάλλοντος,  Ενέργειας  και  Κλιματικής Αλλαγής  εκδίδει και απευθύνει  προς  τα αρμόδια υπουργεία:</w:t>
      </w:r>
    </w:p>
    <w:p w:rsidR="00A672EE" w:rsidRPr="00A672EE" w:rsidRDefault="00A672EE" w:rsidP="00A672EE">
      <w:r w:rsidRPr="00A672EE">
        <w:t xml:space="preserve">α)  Αγροτικής Ανάπτυξης  και  Τροφίμων,  </w:t>
      </w:r>
    </w:p>
    <w:p w:rsidR="00A672EE" w:rsidRPr="00A672EE" w:rsidRDefault="00A672EE" w:rsidP="00A672EE">
      <w:r w:rsidRPr="00A672EE">
        <w:lastRenderedPageBreak/>
        <w:t xml:space="preserve">β)  Οικονομίας, Ανταγωνιστικότητας  και  Ναυτιλίας  και  </w:t>
      </w:r>
    </w:p>
    <w:p w:rsidR="00A672EE" w:rsidRPr="00A672EE" w:rsidRDefault="00A672EE" w:rsidP="00A672EE">
      <w:r w:rsidRPr="00A672EE">
        <w:t xml:space="preserve">γ)  Προστασίας του  Πολίτη  οδηγίες  για  τη  διαχείριση,  </w:t>
      </w:r>
    </w:p>
    <w:p w:rsidR="00A672EE" w:rsidRPr="00A672EE" w:rsidRDefault="00A672EE" w:rsidP="00A672EE">
      <w:r w:rsidRPr="00A672EE">
        <w:t xml:space="preserve">προστασία και φύλαξη των θαλάσσιων οικοτόπων και ειδών χλωρίδας και πανίδας.   </w:t>
      </w:r>
    </w:p>
    <w:p w:rsidR="00A672EE" w:rsidRPr="00A672EE" w:rsidRDefault="00A672EE" w:rsidP="00A672EE">
      <w:r w:rsidRPr="00A672EE">
        <w:tab/>
        <w:t xml:space="preserve">Πιο συγκεκριμένα, σε θαλάσσιες περιοχές </w:t>
      </w:r>
      <w:proofErr w:type="spellStart"/>
      <w:r w:rsidRPr="00A672EE">
        <w:rPr>
          <w:lang w:val="en-US"/>
        </w:rPr>
        <w:t>Natura</w:t>
      </w:r>
      <w:proofErr w:type="spellEnd"/>
      <w:r w:rsidRPr="00A672EE">
        <w:t xml:space="preserve"> που περιλαμβάνουν λιβάδια  </w:t>
      </w:r>
      <w:proofErr w:type="spellStart"/>
      <w:r w:rsidRPr="00A672EE">
        <w:t>Ποσειδωνίας</w:t>
      </w:r>
      <w:proofErr w:type="spellEnd"/>
      <w:r w:rsidRPr="00A672EE">
        <w:t xml:space="preserve"> (</w:t>
      </w:r>
      <w:proofErr w:type="spellStart"/>
      <w:r w:rsidRPr="00A672EE">
        <w:t>οικότοπος</w:t>
      </w:r>
      <w:proofErr w:type="spellEnd"/>
      <w:r w:rsidRPr="00A672EE">
        <w:t xml:space="preserve"> προτεραιότητας 1120) και σε περιοχές με κοραλλιογενείς  σχηματισμούς (ύφαλοι ‐ </w:t>
      </w:r>
      <w:proofErr w:type="spellStart"/>
      <w:r w:rsidRPr="00A672EE">
        <w:t>οικότοπος</w:t>
      </w:r>
      <w:proofErr w:type="spellEnd"/>
      <w:r w:rsidRPr="00A672EE">
        <w:t xml:space="preserve"> 1170) επιτρέπεται το αγκυροβόλιο σε αυστηρά καθορισμένα σημεία.  </w:t>
      </w:r>
    </w:p>
    <w:p w:rsidR="00A672EE" w:rsidRPr="00A672EE" w:rsidRDefault="00A672EE" w:rsidP="00A672EE">
      <w:r w:rsidRPr="00A672EE">
        <w:tab/>
        <w:t xml:space="preserve">Επίσης, οι φορείς διαχείρισης ή, σε περιοχές όπου δεν υφίστανται,  οι χωρικά  αρμόδιες Περιφέρειες των προστατευόμενων περιοχών του Δικτύου </w:t>
      </w:r>
      <w:proofErr w:type="spellStart"/>
      <w:r w:rsidRPr="00A672EE">
        <w:rPr>
          <w:lang w:val="en-US"/>
        </w:rPr>
        <w:t>Natura</w:t>
      </w:r>
      <w:proofErr w:type="spellEnd"/>
      <w:r w:rsidRPr="00A672EE">
        <w:t xml:space="preserve"> 2000  συντάσσουν  πενταετή σχέδια  διαχείρισης και προγράμματα δράσης στα οποία  περιλαμβάνονται  προτεραιότητες  με σκοπό την επίτευξη ικανοποιητικής  κατάστασης  διατήρησης.  Τα σχέδια αυτά υποβάλλονται στη Γενική Διεύθυνση Περιβάλλοντος του  Υπουργείου Περιβάλλοντος, Ενέργειας και Κλιματικής Αλλαγής  και εγκρίνονται από τον Υπουργό. Οι προδιαγραφές και το περιεχόμενο των σχεδίων διαχείρισης περιοχών του Δικτύου </w:t>
      </w:r>
      <w:proofErr w:type="spellStart"/>
      <w:r w:rsidRPr="00A672EE">
        <w:rPr>
          <w:lang w:val="en-US"/>
        </w:rPr>
        <w:t>Natura</w:t>
      </w:r>
      <w:proofErr w:type="spellEnd"/>
      <w:r w:rsidRPr="00A672EE">
        <w:t xml:space="preserve"> 2000 καθορίζονται  με απόφαση του Υπουργού  Περιβάλλοντος, Ενέργειας και Κλιματικής Αλλαγής   </w:t>
      </w:r>
    </w:p>
    <w:p w:rsidR="00A672EE" w:rsidRPr="00A672EE" w:rsidRDefault="00A672EE" w:rsidP="00A672EE">
      <w:r w:rsidRPr="00A672EE">
        <w:tab/>
      </w:r>
      <w:proofErr w:type="spellStart"/>
      <w:r w:rsidRPr="00A672EE">
        <w:t>Κλέινοντας</w:t>
      </w:r>
      <w:proofErr w:type="spellEnd"/>
      <w:r w:rsidRPr="00A672EE">
        <w:t xml:space="preserve">, οι περιοχές  του  Δικτύου  </w:t>
      </w:r>
      <w:proofErr w:type="spellStart"/>
      <w:r w:rsidRPr="00A672EE">
        <w:rPr>
          <w:lang w:val="en-US"/>
        </w:rPr>
        <w:t>Natura</w:t>
      </w:r>
      <w:proofErr w:type="spellEnd"/>
      <w:r w:rsidRPr="00A672EE">
        <w:t xml:space="preserve">  2000  έχουν  προτεραιότητα  στην  παροχή  κάθε  είδους  κινήτρων, χορηγούμενων για την παραγωγή,  τυποποίηση και διάθεση τοπικά παραγόμενων προϊόντων (Προϊόντα </w:t>
      </w:r>
    </w:p>
    <w:p w:rsidR="00A672EE" w:rsidRPr="00A672EE" w:rsidRDefault="00A672EE" w:rsidP="00A672EE">
      <w:r w:rsidRPr="00A672EE">
        <w:t xml:space="preserve">Προστατευόμενης Ονομασίας Προέλευσης, Προστατευόμενης Γεωγραφικής </w:t>
      </w:r>
    </w:p>
    <w:p w:rsidR="00A672EE" w:rsidRPr="00A672EE" w:rsidRDefault="00A672EE" w:rsidP="00A672EE">
      <w:r w:rsidRPr="00A672EE">
        <w:t xml:space="preserve">Ένδειξης, Οίνοι  ΟΠΑΠ, Οίνοι  ΟΠΕ, Οίνοι Τοπικοί, Παραδοσιακά  Προϊόντα)  και για ήπιες  οικονομικές  δραστηριότητες όπως ο οικοτουρισμός. Το ίδιο ισχύει  και ως προς  τα  κίνητρα  που  προβλέπονται  για  την  προώθηση φιλικών προς το περιβάλλον  μεθόδων παραγωγής γεωργικών και κτηνοτροφικών  προϊόντων και  προϊόντων αλιείας και υδατοκαλλιέργειας.  </w:t>
      </w:r>
    </w:p>
    <w:p w:rsidR="00A672EE" w:rsidRPr="00A672EE" w:rsidRDefault="00A672EE" w:rsidP="00A672EE">
      <w:r w:rsidRPr="00A672EE">
        <w:t xml:space="preserve">Ρυθμίσεις προστασίας μικρών ευαίσθητων οικοσυστημάτων εκτός </w:t>
      </w:r>
      <w:proofErr w:type="spellStart"/>
      <w:r w:rsidRPr="00A672EE">
        <w:rPr>
          <w:lang w:val="en-US"/>
        </w:rPr>
        <w:t>Natura</w:t>
      </w:r>
      <w:proofErr w:type="spellEnd"/>
      <w:r w:rsidRPr="00A672EE">
        <w:t xml:space="preserve"> 2000  </w:t>
      </w:r>
    </w:p>
    <w:p w:rsidR="00A672EE" w:rsidRPr="00A672EE" w:rsidRDefault="00A672EE" w:rsidP="00A672EE">
      <w:r w:rsidRPr="00A672EE">
        <w:t xml:space="preserve">1.  Για την  προστασία  των μικρών υγροτόπων  και βραχονησίδων εκτός δικτύου  </w:t>
      </w:r>
      <w:proofErr w:type="spellStart"/>
      <w:r w:rsidRPr="00A672EE">
        <w:rPr>
          <w:lang w:val="en-US"/>
        </w:rPr>
        <w:t>Natura</w:t>
      </w:r>
      <w:proofErr w:type="spellEnd"/>
      <w:r w:rsidRPr="00A672EE">
        <w:t xml:space="preserve"> 2000 από  κάθε κρίσιμη και μη  αναστρέψιμη υποβάθμιση, οι αρμόδιες  υπηρεσίες περιβάλλοντος της χωρικά αρμόδιας Περιφέρειας εισηγούνται τον χαρακτηρισμό και την οριοθέτησή τους.  </w:t>
      </w:r>
    </w:p>
    <w:p w:rsidR="00A672EE" w:rsidRPr="00A672EE" w:rsidRDefault="00A672EE" w:rsidP="00A672EE">
      <w:r w:rsidRPr="00A672EE">
        <w:t xml:space="preserve">2.  Οι μικροί υγρότοποι και βραχονησίδες εκτός δικτύου </w:t>
      </w:r>
      <w:proofErr w:type="spellStart"/>
      <w:r w:rsidRPr="00A672EE">
        <w:rPr>
          <w:lang w:val="en-US"/>
        </w:rPr>
        <w:t>Natura</w:t>
      </w:r>
      <w:proofErr w:type="spellEnd"/>
      <w:r w:rsidRPr="00A672EE">
        <w:t xml:space="preserve"> 2000  χαρακτηρίζονται με  απόφαση του οικείου Γενικού Γραμματέα της Περιφέρειας ως  Καταφύγια Άγριας Ζωής. </w:t>
      </w:r>
    </w:p>
    <w:p w:rsidR="00A672EE" w:rsidRPr="00A672EE" w:rsidRDefault="00A672EE" w:rsidP="00A672EE">
      <w:r w:rsidRPr="00A672EE">
        <w:t xml:space="preserve">3.  Οι μικροί παράκτιοι υγρότοποι οριοθετούνται ως στοιχεία της παράκτιας  ζώνης  και υπάγονται στις διατάξεις της κείμενης νομοθεσίας περί αιγιαλού.   </w:t>
      </w:r>
    </w:p>
    <w:p w:rsidR="00A672EE" w:rsidRPr="00A672EE" w:rsidRDefault="00A672EE" w:rsidP="00A672EE">
      <w:r w:rsidRPr="00A672EE">
        <w:t xml:space="preserve">4.  Ο κατάλογος των οριοθετημένων μικρών υγροτόπων και βραχονησίδων  εγκρίνεται εντός  δύο ετών από τη  δημοσίευση  του  παρόντος  με  απόφαση του  Γενικού Γραμματέα της οικείας Περιφέρειας που δημοσιεύεται  στην Εφημερίδα  της Κυβερνήσεως.  </w:t>
      </w:r>
    </w:p>
    <w:p w:rsidR="00A672EE" w:rsidRPr="00A672EE" w:rsidRDefault="00A672EE" w:rsidP="00A672EE">
      <w:r w:rsidRPr="00A672EE">
        <w:lastRenderedPageBreak/>
        <w:t xml:space="preserve">5.  Η αποτελεσματική φύλαξη  των  μικρών  υγροτόπων  και  βραχονησίδων  αποτελεί χωρική αρμοδιότητα των κατά περίπτωση οικείων δασικών ή λιμενικών αρχών.  </w:t>
      </w:r>
    </w:p>
    <w:p w:rsidR="00A672EE" w:rsidRPr="00A672EE" w:rsidRDefault="00A672EE" w:rsidP="00A672EE">
      <w:r w:rsidRPr="00A672EE">
        <w:t>6.  Η επιστημονική  παρακολούθηση,  καθώς  και  ο  σχεδιασμός  και  η  εφαρμογή  δράσεων  διαχείρισης,  αποκατάστασης, προστασίας και ανάδειξης  των μικρών  υγροτόπων και βραχονησίδων μπορεί να ανατίθεται από τον Υπουργό  Περιβάλλοντος,  Ενέργειας και  Κλιματική</w:t>
      </w:r>
      <w:r>
        <w:t xml:space="preserve">ς Αλλαγής  σε πανεπιστημιακά ή </w:t>
      </w:r>
      <w:r w:rsidRPr="00A672EE">
        <w:t>ερευνητικά ιδρύματα και σε περιβαλλοντικές μη‐κυβερνητικές οργανώσεις.</w:t>
      </w:r>
    </w:p>
    <w:p w:rsidR="00A672EE" w:rsidRPr="00A672EE" w:rsidRDefault="00A672EE" w:rsidP="00A672EE">
      <w:r w:rsidRPr="00A672EE">
        <w:t>Σύμβαση του Ρίο Ντε Τζανέιρο</w:t>
      </w:r>
    </w:p>
    <w:p w:rsidR="00A672EE" w:rsidRPr="00A672EE" w:rsidRDefault="00A672EE" w:rsidP="00A672EE">
      <w:r w:rsidRPr="00A672EE">
        <w:tab/>
        <w:t>Η σύμβαση για τη βιοποικιλότητα  (</w:t>
      </w:r>
      <w:r w:rsidRPr="00A672EE">
        <w:rPr>
          <w:lang w:val="en-US"/>
        </w:rPr>
        <w:t>CBD</w:t>
      </w:r>
      <w:r w:rsidRPr="00A672EE">
        <w:t xml:space="preserve">) υπεγράφη από την Κοινότητα και τα κράτη μέλη κατά τη συνδιάσκεψη των Ηνωμένων Εθνών για το περιβάλλον και την ανάπτυξη, που διεξήχθη στο Ρίο ντε Ιανέιρο από τις 3 έως τις 14 Ιουνίου 1992. Η ως άνω σύμβαση εγκρίνεται </w:t>
      </w:r>
      <w:r w:rsidR="0094058E">
        <w:t xml:space="preserve"> </w:t>
      </w:r>
      <w:r w:rsidRPr="00A672EE">
        <w:t xml:space="preserve">εξ </w:t>
      </w:r>
      <w:r w:rsidR="0094058E">
        <w:t xml:space="preserve"> </w:t>
      </w:r>
      <w:r w:rsidRPr="00A672EE">
        <w:t>ονόματος της Ευρωπαϊκής Κοινότητας.</w:t>
      </w:r>
    </w:p>
    <w:p w:rsidR="00A672EE" w:rsidRPr="00A672EE" w:rsidRDefault="00A672EE" w:rsidP="00A672EE">
      <w:r w:rsidRPr="00A672EE">
        <w:tab/>
        <w:t xml:space="preserve">Τις τελευταίες δεκαετίες παρατηρείται σημαντική συρρίκνωση της βιοποικιλότητας λόγω των ανθρωπίνων δραστηριοτήτων (ρύπανση, αποψίλωση κ.τ.λ.). Σύμφωνα με εκτίμηση της </w:t>
      </w:r>
      <w:r w:rsidRPr="00A672EE">
        <w:rPr>
          <w:lang w:val="en-US"/>
        </w:rPr>
        <w:t>UNEP</w:t>
      </w:r>
      <w:r w:rsidRPr="00A672EE">
        <w:t>, έως και το 24% των ειδών ορισμένων κατηγοριών, όπως οι πεταλούδες, τα πτηνά και τα θηλαστικά, έχουν πλέον εκλείψει από την επικράτεια ορισμένων χωρών της Ευρώπης.</w:t>
      </w:r>
    </w:p>
    <w:p w:rsidR="00A672EE" w:rsidRPr="00A672EE" w:rsidRDefault="00A672EE" w:rsidP="00A672EE">
      <w:r w:rsidRPr="00A672EE">
        <w:tab/>
        <w:t xml:space="preserve">Η κατάσταση είναι ανησυχητική. Είναι γεγονός ότι η κατάλληλη βιοποικιλότητα περιορίζει τις περιβαλλοντικές επιπτώσεις ορισμένων γεγονότων όπως της κλιματικής μεταβολής και των παρασιτικών εισβολών. Η βιοποικιλότητα είναι καθοριστικής σημασίας για τη διαφύλαξη της μακροπρόθεσμης βιωσιμότητας των γεωργικών και αλιευτικών δραστηριοτήτων και αποτελεί το υπόβαθρο πολλών βιομηχανικών διαδικασιών καθώς και της παραγωγής νέων φαρμάκων. Η διατήρηση και η αειφόρος χρήση της βιοποικιλότητας είναι καθοριστικής σημασίας για την επίτευξη της αειφόρου ανάπτυξης παράλληλα με τους αναπτυξιακούς στόχους της χιλιετίας όσον αφορά την ένδεια, την υγεία και το περιβάλλον. Το 2002 στην παγκόσμια διάσκεψη για την αειφόρο ανάπτυξη στο Γιοχάνεσμπουργκ, οι επικεφαλείς κρατών και κυβερνήσεων ολόκληρου του κόσμου συμφώνησαν ότι ήταν απαραίτητο να μειωθούν οι ρυθμοί απώλειας της βιοποικιλότητας ουσιαστικά έως το 2010. Η </w:t>
      </w:r>
      <w:r w:rsidRPr="00A672EE">
        <w:rPr>
          <w:lang w:val="en-US"/>
        </w:rPr>
        <w:t>CDB</w:t>
      </w:r>
      <w:r w:rsidRPr="00A672EE">
        <w:t xml:space="preserve"> αναγνωρίστηκε ως το κύριο μέσο που θα μπορούσε να αξιοποιηθεί στον τομέα αυτό. Το 2001 το Ευρωπαϊκό Συμβούλιο του </w:t>
      </w:r>
      <w:r w:rsidRPr="00A672EE">
        <w:rPr>
          <w:lang w:val="en-US"/>
        </w:rPr>
        <w:t>Goteborg</w:t>
      </w:r>
      <w:r w:rsidRPr="00A672EE">
        <w:t xml:space="preserve"> ενέκρινε ως στόχο ότι θα πρέπει να σταματήσει η απώλεια της βιοποικιλότητας στην Ευρωπαϊκή Ένωση το 2010. Τα κράτη είναι υπεύθυνα για τη διατήρηση της βιοποικιλότητάς τους και για την αειφόρο χρήση των βιολογικών πόρων τους. Οι πληροφορίες και οι γνώσεις στον τομέα της βιοποικιλότητας είναι κατά κανόνα ανεπαρκείς. Ως εκ τούτου, απαιτείται η ανάπτυξη επιστημονικών, τεχνικών και θεσμικών μέσων για την εξασφάλιση των απαιτούμενων γνώσεων με στόχο τη σύλληψη των κατάλληλων μέτρων και την εφαρμογή τους για τη διατήρηση της βιοποικιλότητας. </w:t>
      </w:r>
    </w:p>
    <w:p w:rsidR="00A672EE" w:rsidRPr="00A672EE" w:rsidRDefault="00A672EE" w:rsidP="00A672EE">
      <w:r w:rsidRPr="00A672EE">
        <w:tab/>
        <w:t xml:space="preserve">Σκοπός της </w:t>
      </w:r>
      <w:r w:rsidRPr="00A672EE">
        <w:rPr>
          <w:lang w:val="en-US"/>
        </w:rPr>
        <w:t>CDB</w:t>
      </w:r>
      <w:r w:rsidRPr="00A672EE">
        <w:t xml:space="preserve"> είναι η διατήρηση της βιοποικιλότητας, η αειφόρος χρήση των συστατικών της και ο ορθός και ισότιμος καταμερισμός των ωφελειών που απορρέουν από την εκμετάλλευση των γενετικών πόρων, κυρίως χάρη στην επαρκή πρόσβαση στους γενετικούς πόρους και την απαραίτητη μεταφορά των κατάλληλων τεχνολογιών, </w:t>
      </w:r>
      <w:r w:rsidRPr="00A672EE">
        <w:lastRenderedPageBreak/>
        <w:t>λαμβάνοντας υπόψη τα δικαιώματα επί των ως άνω πόρων και τεχνολογιών, και με τη βοήθεια των ενδεδειγμένων χρηματοδοτήσεων. Σύμφωνα με το Χάρτη των Ηνωμένων Εθνών και τις αρχές του διεθνούς δικαίου, τα κράτη μέλη διαθέτουν το κυρίαρχο δικαίωμα της εκμετάλλευσης των ιδίων πόρων τους ανάλογα με τις περιβαλλοντικές πολιτικές τους, και είναι υπεύθυνα για την αποφυγή καταστροφών στο περιβάλλον άλλων κρατών ή περιοχών, εκτός των ορίων οιασδήποτε εθνικής δικαιοδοσίας, από διάφορες δραστηριότητες που εμπίπτουν στη δικαιοδοσία ή στον έλεγχό τους.</w:t>
      </w:r>
    </w:p>
    <w:p w:rsidR="00A672EE" w:rsidRPr="00A672EE" w:rsidRDefault="00A672EE" w:rsidP="00A672EE">
      <w:r w:rsidRPr="00A672EE">
        <w:tab/>
        <w:t>Υπό την επιφύλαξη των δικαιωμάτων των άλλων κρατών, και εφόσον δεν προβλέπεται διαφορετικά στην παρούσα σύμβαση, οι διατάξεις ισχύουν για κάθε συμβαλλόμενο μέρος σχετικά με:</w:t>
      </w:r>
    </w:p>
    <w:p w:rsidR="00A672EE" w:rsidRPr="00A672EE" w:rsidRDefault="00A672EE" w:rsidP="00A672EE">
      <w:r w:rsidRPr="00A672EE">
        <w:t>•</w:t>
      </w:r>
      <w:r w:rsidRPr="00A672EE">
        <w:tab/>
        <w:t>τα συστατικά της βιοποικιλότητας σε περιοχές εντός των ορίων της εθνικής δικαιοδοσίας του, και</w:t>
      </w:r>
    </w:p>
    <w:p w:rsidR="00A672EE" w:rsidRPr="00A672EE" w:rsidRDefault="00A672EE" w:rsidP="00A672EE">
      <w:r w:rsidRPr="00A672EE">
        <w:t>•</w:t>
      </w:r>
      <w:r w:rsidRPr="00A672EE">
        <w:tab/>
        <w:t>τις διαδικασίες και δραστηριότητες που, ανεξάρτητα από τον τόπο εκδήλωσης των συνεπειών τους, εμπίπτουν στη δικαιοδοσία του ή τον έλεγχό του, εντός ή εκτός των ορίων της εθνικής δικαιοδοσίας του.</w:t>
      </w:r>
    </w:p>
    <w:p w:rsidR="00A672EE" w:rsidRPr="00A672EE" w:rsidRDefault="00A672EE" w:rsidP="00A672EE">
      <w:r w:rsidRPr="00A672EE">
        <w:tab/>
        <w:t>Κάθε συμβαλλόμενο μέρος συνεργάζεται, στο μέτρο του δυνατού, με άλλα συμβαλλόμενα μέρη, άμεσα ή, ενδεχομένως, μέσω των αρμοδίων διεθνών οργανισμών, σε τομείς πέρα από την εθνική δικαιοδοσία του και για θέματα αμοιβαίου ενδιαφέροντος, με στόχο τη διατήρηση και την αειφόρο χρήση της βιοποικιλότητας.</w:t>
      </w:r>
    </w:p>
    <w:p w:rsidR="00A672EE" w:rsidRPr="00A672EE" w:rsidRDefault="00A672EE" w:rsidP="00A672EE">
      <w:r w:rsidRPr="00A672EE">
        <w:tab/>
        <w:t>Κάθε συμβαλλόμενο μέρος βάσει των δυνατοτήτων του και εφόσον του το επιτρέπουν οι περιστάσεις, αναπτύσσει εθνικές στρατηγικές, σχέδια ή προγράμματα για τη διατήρηση και την αειφόρο χρήση της βιοποικιλότητας ή προσαρμόζει για το σκοπό αυτό υπάρχουσες στρατηγικές, σχέδια ή προγράμματα, και ενσωματώνει, στο μέτρο του δυνατού, τη διατήρηση και την αειφόρο χρήση της βιοποικιλότητας στα αντίστοιχα τομεακά ή διατομεακά σχέδια, προγράμματα και πολιτικές.</w:t>
      </w:r>
    </w:p>
    <w:p w:rsidR="00A672EE" w:rsidRPr="00A672EE" w:rsidRDefault="00A672EE" w:rsidP="00A672EE">
      <w:r w:rsidRPr="00A672EE">
        <w:t>Κάθε συμβαλλόμενο μέρος στο μέτρο του δυνατού,</w:t>
      </w:r>
    </w:p>
    <w:p w:rsidR="00A672EE" w:rsidRPr="00A672EE" w:rsidRDefault="00A672EE" w:rsidP="00A672EE">
      <w:r w:rsidRPr="00A672EE">
        <w:t>•</w:t>
      </w:r>
      <w:r w:rsidRPr="00A672EE">
        <w:tab/>
        <w:t xml:space="preserve">εντοπίζει τα συστατικά στοιχεία της βιοποικιλότητας που είναι σημαντικά για τη διατήρηση και την αειφόρο χρήση της, λαμβάνοντας υπόψη τον ενδεικτικό πίνακα κατηγοριών του παραρτήματος </w:t>
      </w:r>
      <w:r w:rsidRPr="00A672EE">
        <w:rPr>
          <w:lang w:val="en-US"/>
        </w:rPr>
        <w:t>I</w:t>
      </w:r>
      <w:r w:rsidRPr="00A672EE">
        <w:t>,</w:t>
      </w:r>
    </w:p>
    <w:p w:rsidR="00A672EE" w:rsidRPr="00A672EE" w:rsidRDefault="00A672EE" w:rsidP="00A672EE">
      <w:r w:rsidRPr="00A672EE">
        <w:t>•</w:t>
      </w:r>
      <w:r w:rsidRPr="00A672EE">
        <w:tab/>
        <w:t>παρακολουθεί με δειγματοληψίες και άλλες τεχνικές, τα συστατικά στοιχεία της βιοποικιλότητας που έχει εντοπίσει, αποδίδοντας ιδιαίτερη προσοχή σε εκείνα που απαιτούν άμεσα μέτρα διατήρησης και σε εκείνα που προσφέρουν τις μεγαλύτερες δυνατότητες αειφόρου χρήσης,</w:t>
      </w:r>
    </w:p>
    <w:p w:rsidR="00A672EE" w:rsidRPr="00A672EE" w:rsidRDefault="00A672EE" w:rsidP="00A672EE">
      <w:r w:rsidRPr="00A672EE">
        <w:t>•</w:t>
      </w:r>
      <w:r w:rsidRPr="00A672EE">
        <w:tab/>
        <w:t>εντοπίζει τις διαδικασίες και τις κατηγορίες δραστηριοτήτων οι οποίες έχουν ή ενδέχεται να έχουν ανεπιθύμητες επιπτώσεις για τη διατήρηση και την αειφόρο χρήση της βιοποικιλότητας, και ελέγχει τα αποτελέσματά τους με δειγματοληψίες και άλλες τεχνικές, και</w:t>
      </w:r>
    </w:p>
    <w:p w:rsidR="00A672EE" w:rsidRPr="00A672EE" w:rsidRDefault="00A672EE" w:rsidP="00A672EE">
      <w:r w:rsidRPr="00A672EE">
        <w:lastRenderedPageBreak/>
        <w:t>•</w:t>
      </w:r>
      <w:r w:rsidRPr="00A672EE">
        <w:tab/>
        <w:t>λαμβάνει και καταχωρεί, με οποιοδήποτε μηχανισμό, πληροφοριακά στοιχεία που απορρέουν από δραστηριότητες εντοπισμού και παρακολούθησης.</w:t>
      </w:r>
    </w:p>
    <w:p w:rsidR="00A672EE" w:rsidRPr="00A672EE" w:rsidRDefault="00A672EE" w:rsidP="00A672EE">
      <w:r w:rsidRPr="00A672EE">
        <w:tab/>
        <w:t>Κάθε συμβαλλόμενο μέρος λαμβάνει, στο μέτρο του δυνατού και του ενδεδειγμένου, τα δέοντα από οικονομική και κοινωνική άποψη μέτρα για τη δημιουργία κινήτρων με στόχο τη διατήρηση και την αειφόρο χρήση συστατικών της βιοποικιλότητας.</w:t>
      </w:r>
    </w:p>
    <w:p w:rsidR="00A672EE" w:rsidRPr="00A672EE" w:rsidRDefault="00A672EE" w:rsidP="00A672EE">
      <w:r w:rsidRPr="00A672EE">
        <w:t>Η σύμβαση προβλέπει:</w:t>
      </w:r>
    </w:p>
    <w:p w:rsidR="00A672EE" w:rsidRPr="00A672EE" w:rsidRDefault="00A672EE" w:rsidP="00A672EE">
      <w:r w:rsidRPr="00A672EE">
        <w:t>•</w:t>
      </w:r>
      <w:r w:rsidRPr="00A672EE">
        <w:tab/>
        <w:t>την εκπόνηση και τη δρομολόγηση προγραμμάτων επιστημονικής και τεχνικής εκπαίδευσης και επιμόρφωσης για τον εντοπισμό, τη διατήρηση και την αειφόρο χρήση της βιοποικιλότητας και των συστατικών της, και τη στήριξη της εκπαίδευσης και της επιμόρφωσης για τις ειδικές ανάγκες των αναπτυσσόμενων χωρών,</w:t>
      </w:r>
    </w:p>
    <w:p w:rsidR="00A672EE" w:rsidRPr="00A672EE" w:rsidRDefault="00A672EE" w:rsidP="00A672EE">
      <w:r w:rsidRPr="00A672EE">
        <w:t>•</w:t>
      </w:r>
      <w:r w:rsidRPr="00A672EE">
        <w:tab/>
        <w:t>την ενθάρρυνση της έρευνας που συμβάλλει στη διατήρηση της βιοποικιλότητας και την εξασφάλιση της αειφόρου χρήσης της, κυρίως στις αναπτυσσόμενες χώρες,</w:t>
      </w:r>
    </w:p>
    <w:p w:rsidR="00A672EE" w:rsidRPr="00A672EE" w:rsidRDefault="00A672EE" w:rsidP="00A672EE">
      <w:r w:rsidRPr="00A672EE">
        <w:t>•</w:t>
      </w:r>
      <w:r w:rsidRPr="00A672EE">
        <w:tab/>
        <w:t>την προαγωγή της συνεργασίας και την αξιοποίηση της επιστημονικής προόδου που σημειώνεται στην έρευνα της βιοποικιλότητας, για την ανάπτυξη μεθόδων διατήρησης και αειφόρου χρήσης των βιολογικών πόρων.</w:t>
      </w:r>
    </w:p>
    <w:p w:rsidR="00A672EE" w:rsidRPr="00A672EE" w:rsidRDefault="00A672EE" w:rsidP="00A672EE">
      <w:r w:rsidRPr="00A672EE">
        <w:tab/>
        <w:t>Η Κοινότητα οφείλει να προάγει την εκπαίδευση και να συμβάλλει στην ευαισθητοποίηση του κοινού, προβάλλοντας τη σημασία της βιοποικιλότητας από τα μέσα μαζικής ενημέρωσης και συμπεριλαμβάνοντας τα θέματα αυτά στα εκπαιδευτικά προγράμματα.</w:t>
      </w:r>
    </w:p>
    <w:p w:rsidR="00A672EE" w:rsidRPr="00A672EE" w:rsidRDefault="00A672EE" w:rsidP="00A672EE">
      <w:r w:rsidRPr="00A672EE">
        <w:tab/>
        <w:t>Τα συμβαλλόμενα μέρη διευκολύνουν την ανταλλαγή πληροφοριών που προέρχονται από κάθε ελεύθερα προσβάσιμη πηγή, σχετικά με τη διατήρηση και την αειφόρο χρήση της βιοποικιλότητας, λαμβάνοντας υπόψη τις ειδικές ανάγκες των αναπτυσσόμενων χωρών (ανταλλαγή πληροφοριών για τα αποτελέσματα τεχνικών, επιστημονικών και κοινωνικοοικονομικών ερευνών καθώς και πληροφοριών για επιμορφωτικά και εκπαιδευτικά προγράμματα).</w:t>
      </w:r>
    </w:p>
    <w:p w:rsidR="00A672EE" w:rsidRPr="00A672EE" w:rsidRDefault="00A672EE" w:rsidP="00A672EE">
      <w:r w:rsidRPr="00A672EE">
        <w:tab/>
        <w:t>Τέλος, η σύμβαση υπογραμμίζει το ρόλο των τοπικών κοινοτήτων και των αυτοχθόνων πληθυσμών για τη διατήρηση της βιοποικιλότητας. Η σύμβαση αναγνωρίζει τη στενή και παραδοσιακή εξάρτηση των ως άνω κοινοτήτων από τους βιολογικούς πόρους στους οποίους στηρίζονται οι παραδόσεις τους.</w:t>
      </w:r>
    </w:p>
    <w:p w:rsidR="00A672EE" w:rsidRPr="00A672EE" w:rsidRDefault="00A672EE" w:rsidP="00A672EE">
      <w:r w:rsidRPr="00A672EE">
        <w:t>Πράσινο Ταμείο</w:t>
      </w:r>
    </w:p>
    <w:p w:rsidR="00A672EE" w:rsidRPr="00A672EE" w:rsidRDefault="00A672EE" w:rsidP="00A672EE">
      <w:r w:rsidRPr="00A672EE">
        <w:tab/>
        <w:t>Το Πράσινο Ταμείο συστάθηκε το 2004, είναι ένας μικρός χώρος επιχορήγησης που διατίθεται σε Κοινότικα Βασισμένες Οργανώσεις (</w:t>
      </w:r>
      <w:r w:rsidRPr="00A672EE">
        <w:rPr>
          <w:lang w:val="en-US"/>
        </w:rPr>
        <w:t>CBOs</w:t>
      </w:r>
      <w:r w:rsidRPr="00A672EE">
        <w:t xml:space="preserve">) και Μη Κυβερνητικές Οργανώσεις (ΜΚΟ) ή σύμφωνα με τη νομοθεσία «... οποιοσδήποτε άλλος φορέας συσταθεί με νόμο ή δυνάμει νόμου, εκτός από τον περί Εταιρειών .Οι Μη Κυβερνητικές Οργανώσεις  μπορούν να χαρακτηριστούν ότι δεν έχουν ως σκοπό το κέρδος σε αντίθεση με τους οργανισμούς του ιδιωτικού τομέα. Τα χρήματα του Ταμείου διανέμονται από έναν οργανισμό που ιδρύεται για τον σκοπό αυτό , υπό την επίβλεψη μιας συμβουλευτικής επιτροπής. Τα λεφτά αυτά </w:t>
      </w:r>
      <w:r w:rsidRPr="00A672EE">
        <w:lastRenderedPageBreak/>
        <w:t xml:space="preserve">χρησιμοποιούνται  για χρηματοδότηση  ενέργειων που αφορούν την προστασία του περιβάλλοντος, την αναδάσωση ή αποκατάστασης. </w:t>
      </w:r>
    </w:p>
    <w:p w:rsidR="00A672EE" w:rsidRPr="00A672EE" w:rsidRDefault="00A672EE" w:rsidP="00A672EE">
      <w:r w:rsidRPr="00A672EE">
        <w:t>Στο πλαίσιο αυτό έχουμε τα εξής:</w:t>
      </w:r>
    </w:p>
    <w:p w:rsidR="00A672EE" w:rsidRPr="00A672EE" w:rsidRDefault="00A672EE" w:rsidP="00A672EE">
      <w:r w:rsidRPr="00A672EE">
        <w:t xml:space="preserve">1. Αποκατάσταση - ορίζεται σύμφωνα με το </w:t>
      </w:r>
      <w:r w:rsidRPr="00A672EE">
        <w:rPr>
          <w:lang w:val="en-US"/>
        </w:rPr>
        <w:t>EM</w:t>
      </w:r>
      <w:r w:rsidRPr="00A672EE">
        <w:t xml:space="preserve"> νόμου του 2000,η αποκατάσταση των υποβαθμισμένων χώρων για το περιβάλλον, η συγκράτηση των αποβλήτων και επικίνδυνων ουσίων ή άλλες περιβαλλοντικά επικίνδυνες συνθήκες, ή άλλα κατάλληλα προληπτικά μέτρα για να αποφευχθούν σημαντικές δυσμενείς επιπτώσεις στην ανθρώπινη υγεία ή το περιβάλλον. </w:t>
      </w:r>
    </w:p>
    <w:p w:rsidR="00A672EE" w:rsidRPr="00A672EE" w:rsidRDefault="00A672EE" w:rsidP="00A672EE">
      <w:r w:rsidRPr="00A672EE">
        <w:t xml:space="preserve">2. Αναδάσωση - είναι η άμεση ανθρωπογενείς μετατροπή των μη δασικών εκτάσεων σε δασικές εκτάσεις μέσω της φύτευσης, οι σπερμοφυείς καλλιέργειες ή / και το ανθρωπογενείς προώθηση των φυσικών πηγών σπόρου, σε εκτάσεις που ήταν δάση, αλλά που έχει μετατραπεί σε μη δασικές εκτάσεις. </w:t>
      </w:r>
    </w:p>
    <w:p w:rsidR="00A672EE" w:rsidRPr="00A672EE" w:rsidRDefault="00A672EE" w:rsidP="00A672EE">
      <w:r w:rsidRPr="00A672EE">
        <w:t xml:space="preserve">3. Διατήρηση - μια σειρά μέτρων που απαιτούνται για να διατηρηθούν ή αποκατασταθούν οι φυσικοί οικότοποι και οι πληθυσμοί των ειδών άγριας πανίδας και χλωρίδας σε ικανοποιητική κατάσταση.  </w:t>
      </w:r>
    </w:p>
    <w:p w:rsidR="00A672EE" w:rsidRPr="00A672EE" w:rsidRDefault="00A672EE" w:rsidP="00A672EE">
      <w:r w:rsidRPr="00A672EE">
        <w:t xml:space="preserve">Ιστορία του Ταμείου </w:t>
      </w:r>
    </w:p>
    <w:p w:rsidR="00A672EE" w:rsidRPr="00A672EE" w:rsidRDefault="00A672EE" w:rsidP="00A672EE">
      <w:r w:rsidRPr="00A672EE">
        <w:tab/>
        <w:t xml:space="preserve">Το Πράσινο Ταμείο συστάθηκε βάσει του </w:t>
      </w:r>
      <w:proofErr w:type="spellStart"/>
      <w:r w:rsidRPr="00A672EE">
        <w:rPr>
          <w:lang w:val="en-US"/>
        </w:rPr>
        <w:t>FinanceAct</w:t>
      </w:r>
      <w:proofErr w:type="spellEnd"/>
      <w:r w:rsidRPr="00A672EE">
        <w:t xml:space="preserve"> 2004, μέρος </w:t>
      </w:r>
      <w:r w:rsidRPr="00A672EE">
        <w:rPr>
          <w:lang w:val="en-US"/>
        </w:rPr>
        <w:t>XIV</w:t>
      </w:r>
      <w:r w:rsidRPr="00A672EE">
        <w:t xml:space="preserve"> - Πράσινο Ταμείο </w:t>
      </w:r>
      <w:r w:rsidRPr="00A672EE">
        <w:rPr>
          <w:lang w:val="en-US"/>
        </w:rPr>
        <w:t>Levy</w:t>
      </w:r>
      <w:r w:rsidRPr="00A672EE">
        <w:t>-από την κυβέρνηση της Δημοκρατίας του Τρινιδάδ και Τομπάγκο (</w:t>
      </w:r>
      <w:proofErr w:type="spellStart"/>
      <w:r w:rsidRPr="00A672EE">
        <w:rPr>
          <w:lang w:val="en-US"/>
        </w:rPr>
        <w:t>GoRTT</w:t>
      </w:r>
      <w:proofErr w:type="spellEnd"/>
      <w:r w:rsidRPr="00A672EE">
        <w:t xml:space="preserve">). Το Ταμείο έχει κεφαλαιοποιηθεί από φόρο επί των ακαθάριστων εισπράξεων των πωλήσεων και των εταιρικών επιχειρήσεων που δραστηριοποιούνται στο Τρινιντάντ και Τομπάγκο. Το Ταμείο έχει ένα μεγάλο ταξίδι προς τη λειτουργικότητα, καθώς και επικαιροποίηση της έχει λάβει σχεδόν επτά χρόνια. Η αρχική χρηματοδότηση, διεθνής αρωγή για την εγκαθίδρυση του πλαίσιο και τις νομοθετικές τροποποιήσεις που καλύπτουν το σύνολο της περιόδου οδήγησε τελικά στη δημιουργία ενός θεσμικού οργάνου υπό την εποπτεία της </w:t>
      </w:r>
      <w:r w:rsidRPr="00A672EE">
        <w:rPr>
          <w:lang w:val="en-US"/>
        </w:rPr>
        <w:t>MPH</w:t>
      </w:r>
      <w:r w:rsidRPr="00A672EE">
        <w:t xml:space="preserve">&amp; Ε. </w:t>
      </w:r>
    </w:p>
    <w:p w:rsidR="00A672EE" w:rsidRPr="00A672EE" w:rsidRDefault="00A672EE" w:rsidP="00A672EE">
      <w:r w:rsidRPr="00A672EE">
        <w:tab/>
        <w:t xml:space="preserve">Οι δράσεις του Πράσινου Ταμείου που πραγματοποιούνται από τη συμβουλευτική επιτροπή και το Πράσινο Ταμείο. Τα συμβουλευτικά μέλη της επιτροπής διορίζονται από τον Υπουργό αρμόδιο για το Περιβάλλον. Τα μέλη προέρχονται από διάφορους τομείς της κοινωνίας. Είναι νομοθετήσει ότι δεν θα υπάρξει μικρότερη 5 και όχι πάνω από 9 μέλη που εξυπηρετούν διετούς περιόδου. Ο κύριος ρόλος της επιτροπής είναι να συμβουλεύει τον υπουργό σχετικά με τις αιτήσεις για χρηματοδότηση. Η επιτροπή δεν στεγάζεται στο γραφείο του </w:t>
      </w:r>
      <w:r w:rsidRPr="00A672EE">
        <w:rPr>
          <w:lang w:val="en-US"/>
        </w:rPr>
        <w:t>GFEU</w:t>
      </w:r>
      <w:r w:rsidRPr="00A672EE">
        <w:t xml:space="preserve"> αλλά πληρούν όπως το απαιτούν. Το Ταμείο Πράσινων εκτέλεσης Μονάδα λειτουργεί ως διοικητικές και συμβουλευτικές διαίρεση του Ταμείου. Είναι το σημείο επαφής για όλους τους υποψήφιους και επικοινωνεί με τη συμβουλευτική επιτροπή σχετικά με όλα τα θέματα που σχετίζονται με το Ταμείο μέσω του Συντονιστή του, ο οποίος είναι επίσης μέλος του Πράσινου Ταμείου συμβουλευτική επιτροπή. </w:t>
      </w:r>
    </w:p>
    <w:p w:rsidR="00A672EE" w:rsidRPr="00A672EE" w:rsidRDefault="00A672EE" w:rsidP="00A672EE">
      <w:r w:rsidRPr="00A672EE">
        <w:tab/>
        <w:t xml:space="preserve">Ειδικότερα,το Ταμείο Προστασίας του Περιβάλλοντος αποδίδεται το σύνολο  των εσόδων που μέχρι την ψήφιση των προτεινόμενων ρυθμίσεων προορίζονταν για  το ΕΤΕΡΠΣ. </w:t>
      </w:r>
    </w:p>
    <w:p w:rsidR="00A672EE" w:rsidRPr="00A672EE" w:rsidRDefault="00A672EE" w:rsidP="00A672EE"/>
    <w:p w:rsidR="00A672EE" w:rsidRPr="00A672EE" w:rsidRDefault="00A672EE" w:rsidP="00A672EE">
      <w:r w:rsidRPr="00A672EE">
        <w:lastRenderedPageBreak/>
        <w:t xml:space="preserve">Αυτά αποτελούνται πρωτίστως  από:  </w:t>
      </w:r>
    </w:p>
    <w:p w:rsidR="00A672EE" w:rsidRPr="00A672EE" w:rsidRDefault="00A672EE" w:rsidP="00A672EE">
      <w:r w:rsidRPr="00A672EE">
        <w:t>•</w:t>
      </w:r>
      <w:r w:rsidRPr="00A672EE">
        <w:tab/>
        <w:t xml:space="preserve">Πρόστιμα για περιβαλλοντική υποβάθμιση </w:t>
      </w:r>
    </w:p>
    <w:p w:rsidR="00A672EE" w:rsidRPr="00A672EE" w:rsidRDefault="00A672EE" w:rsidP="00A672EE">
      <w:r w:rsidRPr="00A672EE">
        <w:t>•</w:t>
      </w:r>
      <w:r w:rsidRPr="00A672EE">
        <w:tab/>
        <w:t>Πρόστιμα ανέγερσης παράνομων κτισμάτων</w:t>
      </w:r>
    </w:p>
    <w:p w:rsidR="00A672EE" w:rsidRPr="00A672EE" w:rsidRDefault="00A672EE" w:rsidP="00A672EE">
      <w:r w:rsidRPr="00A672EE">
        <w:t>•</w:t>
      </w:r>
      <w:r w:rsidRPr="00A672EE">
        <w:tab/>
        <w:t>Το σύνολο  των  εσόδων  που  εισπράττονται  από  τον  επιβαλλόμενο  ειδικό  φόρο  κατανάλωσης βενζίνης και πετρελαίου εσωτερικής καύσης</w:t>
      </w:r>
    </w:p>
    <w:p w:rsidR="00A672EE" w:rsidRPr="00A672EE" w:rsidRDefault="00A672EE" w:rsidP="00A672EE">
      <w:r w:rsidRPr="00A672EE">
        <w:t>•</w:t>
      </w:r>
      <w:r w:rsidRPr="00A672EE">
        <w:tab/>
        <w:t xml:space="preserve">Τέλη έκδοσης οικοδομικών αδειών και παρεκκλίσεων από ισχύοντες όρους δόμησης  </w:t>
      </w:r>
    </w:p>
    <w:p w:rsidR="00A672EE" w:rsidRPr="00A672EE" w:rsidRDefault="00A672EE" w:rsidP="00A672EE">
      <w:r w:rsidRPr="00A672EE">
        <w:t>•</w:t>
      </w:r>
      <w:r w:rsidRPr="00A672EE">
        <w:tab/>
        <w:t xml:space="preserve">Ανταποδοτικά τέλη από τη διαδικασία περιβαλλοντικής αδειοδότησης έργων και δραστηριοτήτων  </w:t>
      </w:r>
    </w:p>
    <w:p w:rsidR="00A672EE" w:rsidRPr="00A672EE" w:rsidRDefault="00A672EE" w:rsidP="00A672EE">
      <w:r w:rsidRPr="00A672EE">
        <w:t>•</w:t>
      </w:r>
      <w:r w:rsidRPr="00A672EE">
        <w:tab/>
        <w:t xml:space="preserve">Υποχρεωτική εισφορά από εταιρείες αναδόχους μεγάλων έργων υποδομών τα οποία θα διατίθεται για την επιστημονική παρακολούθηση των επιπτώσεων  των έργων αυτών στη βιοποικιλότητα.  </w:t>
      </w:r>
    </w:p>
    <w:p w:rsidR="00A672EE" w:rsidRPr="00A672EE" w:rsidRDefault="00A672EE" w:rsidP="00A672EE">
      <w:r w:rsidRPr="00A672EE">
        <w:t>Το Ταμείο Προστασίας του Περιβάλλοντος χρηματοδοτεί δράσεις και έργα αποκατά-</w:t>
      </w:r>
    </w:p>
    <w:p w:rsidR="00A672EE" w:rsidRPr="00A672EE" w:rsidRDefault="00A672EE" w:rsidP="00A672EE">
      <w:r w:rsidRPr="00A672EE">
        <w:t>στασης και προστασίας του περιβάλλοντος, με προτεραιότητα στις εξής κατηγορίες:</w:t>
      </w:r>
    </w:p>
    <w:p w:rsidR="00A672EE" w:rsidRPr="00A672EE" w:rsidRDefault="00A672EE" w:rsidP="00A672EE">
      <w:r w:rsidRPr="00A672EE">
        <w:t>•</w:t>
      </w:r>
      <w:r w:rsidRPr="00A672EE">
        <w:tab/>
        <w:t xml:space="preserve">Δράσεις προστασίας, διαχείρισης και επιστημονικής παρακολούθησης  απειλούμενων ειδών της χλωρίδας και πανίδας </w:t>
      </w:r>
    </w:p>
    <w:p w:rsidR="00A672EE" w:rsidRPr="00A672EE" w:rsidRDefault="00A672EE" w:rsidP="00A672EE">
      <w:r w:rsidRPr="00A672EE">
        <w:t>•</w:t>
      </w:r>
      <w:r w:rsidRPr="00A672EE">
        <w:tab/>
        <w:t>Λειτουργία και βασικές δράσεις των Φορέων Διαχείρισης, με βάση σχέδιο που κατατίθεται κάθε έτος από τη Μονάδα Διοικητικής Υποστήριξης των Φορέων Διαχείρισης των προστατευόμενων περιοχών του κεφαλαίου 3 του παρόντος</w:t>
      </w:r>
    </w:p>
    <w:p w:rsidR="00A672EE" w:rsidRPr="00A672EE" w:rsidRDefault="00A672EE" w:rsidP="00A672EE">
      <w:r w:rsidRPr="00A672EE">
        <w:t>•</w:t>
      </w:r>
      <w:r w:rsidRPr="00A672EE">
        <w:tab/>
        <w:t xml:space="preserve">Ανασύσταση υποβαθμισμένων οικοσυστημάτων </w:t>
      </w:r>
    </w:p>
    <w:p w:rsidR="00A672EE" w:rsidRPr="00A672EE" w:rsidRDefault="00A672EE" w:rsidP="00A672EE">
      <w:r w:rsidRPr="00A672EE">
        <w:t>•</w:t>
      </w:r>
      <w:r w:rsidRPr="00A672EE">
        <w:tab/>
        <w:t>Προσαρμογή οικοσυστημάτων και απειλούμενων ειδών στην κλιματική αλλαγή</w:t>
      </w:r>
    </w:p>
    <w:p w:rsidR="00A672EE" w:rsidRPr="00A672EE" w:rsidRDefault="00A672EE" w:rsidP="00A672EE">
      <w:r w:rsidRPr="00A672EE">
        <w:t>•</w:t>
      </w:r>
      <w:r w:rsidRPr="00A672EE">
        <w:tab/>
        <w:t xml:space="preserve">Αντιμετώπιση έκτακτων και μεγάλης έκτασης περιστατικών περιβαλλοντικής  υποβάθμισης </w:t>
      </w:r>
    </w:p>
    <w:p w:rsidR="00A672EE" w:rsidRPr="00A672EE" w:rsidRDefault="00A672EE" w:rsidP="00A672EE">
      <w:r w:rsidRPr="00A672EE">
        <w:t>•</w:t>
      </w:r>
      <w:r w:rsidRPr="00A672EE">
        <w:tab/>
        <w:t xml:space="preserve">Πολεοδομικές αναπλάσεις </w:t>
      </w:r>
    </w:p>
    <w:p w:rsidR="00A672EE" w:rsidRPr="00A672EE" w:rsidRDefault="00A672EE" w:rsidP="00A672EE">
      <w:r w:rsidRPr="00A672EE">
        <w:t>•</w:t>
      </w:r>
      <w:r w:rsidRPr="00A672EE">
        <w:tab/>
        <w:t>Δημιουργία μητροπολιτικών χώρων πρασίνου στην Αθήνα και τη Θεσσαλονίκη</w:t>
      </w:r>
    </w:p>
    <w:p w:rsidR="00A672EE" w:rsidRPr="00A672EE" w:rsidRDefault="00A672EE" w:rsidP="00A672EE">
      <w:r w:rsidRPr="00A672EE">
        <w:t>•</w:t>
      </w:r>
      <w:r w:rsidRPr="00A672EE">
        <w:tab/>
        <w:t xml:space="preserve">Αποκατάσταση ρυπασμένων περιοχών  </w:t>
      </w:r>
    </w:p>
    <w:p w:rsidR="00A672EE" w:rsidRPr="00A672EE" w:rsidRDefault="00A672EE" w:rsidP="00A672EE">
      <w:r w:rsidRPr="00A672EE">
        <w:tab/>
        <w:t xml:space="preserve">Το Ταμείο Προστασίας του Περιβάλλοντος διοικείται από Διοικητικό  Συμβούλιο,  στο οποίο  μετέχουν με δικαίωμα ψήφου εκπρόσωποι των υπουργείων </w:t>
      </w:r>
    </w:p>
    <w:p w:rsidR="00A672EE" w:rsidRPr="00A672EE" w:rsidRDefault="00A672EE" w:rsidP="00A672EE">
      <w:r w:rsidRPr="00A672EE">
        <w:t xml:space="preserve">α) Εσωτερικών, Αποκέντρωσης και Ηλεκτρονικής Διακυβέρνησης, </w:t>
      </w:r>
    </w:p>
    <w:p w:rsidR="00A672EE" w:rsidRPr="00A672EE" w:rsidRDefault="00A672EE" w:rsidP="00A672EE">
      <w:r w:rsidRPr="00A672EE">
        <w:t xml:space="preserve">β) Οικονομικών, </w:t>
      </w:r>
    </w:p>
    <w:p w:rsidR="00A672EE" w:rsidRPr="00A672EE" w:rsidRDefault="00A672EE" w:rsidP="00A672EE">
      <w:r w:rsidRPr="00A672EE">
        <w:t xml:space="preserve">γ) Αγροτικής Ανάπτυξης και Τροφίμων </w:t>
      </w:r>
    </w:p>
    <w:p w:rsidR="00A672EE" w:rsidRPr="00A672EE" w:rsidRDefault="00A672EE" w:rsidP="00A672EE">
      <w:r w:rsidRPr="00A672EE">
        <w:lastRenderedPageBreak/>
        <w:t xml:space="preserve">δ) Οικονομίας,  </w:t>
      </w:r>
    </w:p>
    <w:p w:rsidR="00A672EE" w:rsidRPr="00A672EE" w:rsidRDefault="00A672EE" w:rsidP="00A672EE">
      <w:r>
        <w:t xml:space="preserve">ε) </w:t>
      </w:r>
      <w:r w:rsidRPr="00A672EE">
        <w:t xml:space="preserve">Ανταγωνιστικότητας και Ναυτιλίας, του ΤΕΕ,  του  ΓΕΩΤΕΕ,  της  ΕΝΑΕ,  της  ΚΕΔΚΕ,  ο  πρόεδρος  της  Επιτροπής  Φύση,  εκπρόσωποι  τριών  περιβαλλοντικών  μη  κυβερνητικών  οργανώσεων,  καθώς και τρεις εμπειρογνώμονες  των Ανωτάτων  Εκπαιδευτικών Ιδρυμάτων στα γνωστικά αντικείμενα της Βιολογίας, της Δασολογίας και της Ατμόσφαιρας. Πρόεδρος του Διοικητικού Συμβουλίου ορίζεται ο εκάστοτε  Υφυπουργός  Περιβάλλοντος.  Η θητεία του ΔΣ είναι τριετής.  Η σύσταση του ΔΣ  πραγματοποιείται με απόφαση του Υπουργού Περιβάλλοντος, Ενέργειας και Κλιματικής Αλλαγής.  </w:t>
      </w:r>
    </w:p>
    <w:p w:rsidR="00A672EE" w:rsidRPr="00A672EE" w:rsidRDefault="00A672EE" w:rsidP="00A672EE">
      <w:r w:rsidRPr="00A672EE">
        <w:tab/>
        <w:t xml:space="preserve">Το Διοικητικό Συμβούλιο εισηγείται προς έγκριση στον Υπουργό  Περιβάλλοντος, Ενέργειας και κλιματικής Αλλαγής για έγκριση τους εξής κανονισμούς:  </w:t>
      </w:r>
    </w:p>
    <w:p w:rsidR="00A672EE" w:rsidRPr="00A672EE" w:rsidRDefault="00A672EE" w:rsidP="00A672EE">
      <w:r w:rsidRPr="00A672EE">
        <w:t>•</w:t>
      </w:r>
      <w:r w:rsidRPr="00A672EE">
        <w:tab/>
        <w:t>Λειτουργίας ΔΣ</w:t>
      </w:r>
    </w:p>
    <w:p w:rsidR="00A672EE" w:rsidRPr="00A672EE" w:rsidRDefault="00A672EE" w:rsidP="00A672EE">
      <w:r w:rsidRPr="00A672EE">
        <w:t>•</w:t>
      </w:r>
      <w:r w:rsidRPr="00A672EE">
        <w:tab/>
        <w:t xml:space="preserve">Έγκρισης και επίβλεψης χρηματοδοτούμενων έργων  </w:t>
      </w:r>
    </w:p>
    <w:p w:rsidR="00A672EE" w:rsidRPr="00A672EE" w:rsidRDefault="00A672EE" w:rsidP="00A672EE">
      <w:r w:rsidRPr="00A672EE">
        <w:tab/>
        <w:t xml:space="preserve">Η χρηστή και διαφανής διαχείριση του δημόσιου χρήματος προς όφελος του  περιβάλλοντος αποτελεί πρώτιστο μέλημα του Ταμείου Προστασίας του Περιβάλλοντος. Προς αυτή την κατεύθυνση ορίζονται οι εξής απαρέγκλιτες αρχές: </w:t>
      </w:r>
    </w:p>
    <w:p w:rsidR="00A672EE" w:rsidRPr="00A672EE" w:rsidRDefault="00A672EE" w:rsidP="00A672EE">
      <w:r w:rsidRPr="00A672EE">
        <w:t>•</w:t>
      </w:r>
      <w:r w:rsidRPr="00A672EE">
        <w:tab/>
        <w:t xml:space="preserve">Ο ετήσιος  προϋπολογισμός  και  απολογισμός  πεπραγμένων  και  οικονομικής  διαχείρισης  δημοσιοποιείται με ανακοίνωση του Υπουργού Περιβάλλοντος.  </w:t>
      </w:r>
    </w:p>
    <w:p w:rsidR="00A672EE" w:rsidRPr="00A672EE" w:rsidRDefault="00A672EE" w:rsidP="00A672EE">
      <w:r w:rsidRPr="00A672EE">
        <w:t>•</w:t>
      </w:r>
      <w:r w:rsidRPr="00A672EE">
        <w:tab/>
        <w:t xml:space="preserve">Δημιουργείται ιστοσελίδα του Ταμείου Προστασίας του Περιβάλλοντος, στην </w:t>
      </w:r>
    </w:p>
    <w:p w:rsidR="00A672EE" w:rsidRPr="00A672EE" w:rsidRDefault="00A672EE" w:rsidP="00A672EE">
      <w:r w:rsidRPr="00A672EE">
        <w:t xml:space="preserve">οποία αναρτώνται όλες οι αποφάσεις και τα πρακτικά του ΔΣ, οι διαδικασίες </w:t>
      </w:r>
    </w:p>
    <w:p w:rsidR="00A672EE" w:rsidRPr="00A672EE" w:rsidRDefault="00A672EE" w:rsidP="00A672EE">
      <w:r w:rsidRPr="00A672EE">
        <w:t xml:space="preserve">έγκρισης χρηματοδοτήσεων, οι συστατικές πράξεις του Ταμείου και του ΔΣ, οι ετήσιοι προϋπολογισμοί και </w:t>
      </w:r>
    </w:p>
    <w:p w:rsidR="00A672EE" w:rsidRPr="00A672EE" w:rsidRDefault="00A672EE" w:rsidP="00A672EE">
      <w:r w:rsidRPr="00A672EE">
        <w:t xml:space="preserve">απολογισμοί, ανάλυση των εσόδων  ανά  κατηγορία  είσπραξης, οι  εγκεκριμένοι  κανονισμοί  και  κάθε  διαθέσιμη  πληροφορία  για την  </w:t>
      </w:r>
    </w:p>
    <w:p w:rsidR="00A672EE" w:rsidRPr="00A672EE" w:rsidRDefault="00A672EE" w:rsidP="00A672EE">
      <w:r w:rsidRPr="00A672EE">
        <w:t xml:space="preserve">            πορεία των χρηματοδοτούμενων έργων.  </w:t>
      </w:r>
    </w:p>
    <w:p w:rsidR="00A672EE" w:rsidRPr="00A672EE" w:rsidRDefault="00A672EE" w:rsidP="00A672EE">
      <w:r w:rsidRPr="00A672EE">
        <w:t>•</w:t>
      </w:r>
      <w:r w:rsidRPr="00A672EE">
        <w:tab/>
        <w:t xml:space="preserve">Από τη διαδικασία επεξεργασίας χρηματοδοτικών προτάσεων, εξαιρούνται τα </w:t>
      </w:r>
    </w:p>
    <w:p w:rsidR="00A672EE" w:rsidRPr="00A672EE" w:rsidRDefault="00A672EE" w:rsidP="00A672EE">
      <w:r w:rsidRPr="00A672EE">
        <w:t xml:space="preserve">μέλη του ΔΣ που έχουν οποιαδήποτε σχέση εξάρτησης με τους υποψήφιους </w:t>
      </w:r>
    </w:p>
    <w:p w:rsidR="00A672EE" w:rsidRPr="00A672EE" w:rsidRDefault="00A672EE" w:rsidP="00A672EE">
      <w:r w:rsidRPr="00A672EE">
        <w:t xml:space="preserve">προς χρηματοδότηση φορείς.   </w:t>
      </w:r>
    </w:p>
    <w:p w:rsidR="00A672EE" w:rsidRPr="00A672EE" w:rsidRDefault="00A672EE" w:rsidP="00A672EE">
      <w:r w:rsidRPr="00A672EE">
        <w:tab/>
        <w:t xml:space="preserve">Με προεδρικό διάταγμα που εκδίδεται μετά από πρόταση του Υπουργού </w:t>
      </w:r>
    </w:p>
    <w:p w:rsidR="00A672EE" w:rsidRPr="00A672EE" w:rsidRDefault="00A672EE" w:rsidP="00A672EE">
      <w:r w:rsidRPr="00A672EE">
        <w:t xml:space="preserve">Περιβάλλοντος, Ενέργειας  </w:t>
      </w:r>
    </w:p>
    <w:p w:rsidR="00A672EE" w:rsidRPr="00A672EE" w:rsidRDefault="00A672EE" w:rsidP="00A672EE">
      <w:r w:rsidRPr="00A672EE">
        <w:t xml:space="preserve">και Κλιματικής Αλλαγής ρυθμίζεται κάθε άλλο θέμα σχετικό με την ίδρυση, τη </w:t>
      </w:r>
    </w:p>
    <w:p w:rsidR="00A672EE" w:rsidRPr="00A672EE" w:rsidRDefault="00A672EE" w:rsidP="00A672EE">
      <w:r w:rsidRPr="00A672EE">
        <w:t xml:space="preserve">λειτουργία και τη διάθεση των πόρων του Ταμείου.  </w:t>
      </w:r>
    </w:p>
    <w:p w:rsidR="00A672EE" w:rsidRPr="00A672EE" w:rsidRDefault="00A672EE" w:rsidP="00A672EE"/>
    <w:p w:rsidR="00A672EE" w:rsidRPr="00A672EE" w:rsidRDefault="00A672EE" w:rsidP="00A672EE">
      <w:r w:rsidRPr="00A672EE">
        <w:lastRenderedPageBreak/>
        <w:tab/>
        <w:t xml:space="preserve">Με το παρόν καταργούνται όλες οι διατάξεις που αφορούν τη σύσταση και </w:t>
      </w:r>
    </w:p>
    <w:p w:rsidR="00A672EE" w:rsidRPr="00A672EE" w:rsidRDefault="00A672EE" w:rsidP="00A672EE">
      <w:r w:rsidRPr="00A672EE">
        <w:t xml:space="preserve">λειτουργία του ΕΤΕΡΠΣ, καθώς και οι ειδικοί λογαριασμοί του άρθρου 3 του </w:t>
      </w:r>
    </w:p>
    <w:p w:rsidR="00A672EE" w:rsidRPr="00A672EE" w:rsidRDefault="00A672EE" w:rsidP="00A672EE">
      <w:r w:rsidRPr="00A672EE">
        <w:t>ν. 2242/1994 με τίτλο «Πράσινο Ταμείο» και  «Γαλάζιο Ταμείο».</w:t>
      </w:r>
    </w:p>
    <w:p w:rsidR="00A672EE" w:rsidRPr="00A672EE" w:rsidRDefault="00A672EE" w:rsidP="00A672EE"/>
    <w:p w:rsidR="00A672EE" w:rsidRPr="00A672EE" w:rsidRDefault="00A672EE" w:rsidP="00A672EE"/>
    <w:p w:rsidR="00A672EE" w:rsidRPr="00A672EE" w:rsidRDefault="00A672EE" w:rsidP="00A672EE"/>
    <w:p w:rsidR="00A672EE" w:rsidRPr="00A672EE" w:rsidRDefault="00A672EE" w:rsidP="00A672EE"/>
    <w:p w:rsidR="00A672EE" w:rsidRPr="00A672EE" w:rsidRDefault="00A672EE" w:rsidP="00A672EE"/>
    <w:p w:rsidR="00A672EE" w:rsidRPr="00A672EE" w:rsidRDefault="00A672EE"/>
    <w:sectPr w:rsidR="00A672EE" w:rsidRPr="00A672EE" w:rsidSect="001110F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72EE"/>
    <w:rsid w:val="000006D3"/>
    <w:rsid w:val="00002D31"/>
    <w:rsid w:val="00004C26"/>
    <w:rsid w:val="000156E0"/>
    <w:rsid w:val="0001768F"/>
    <w:rsid w:val="00025595"/>
    <w:rsid w:val="0002621A"/>
    <w:rsid w:val="000303D5"/>
    <w:rsid w:val="00031A3A"/>
    <w:rsid w:val="00032793"/>
    <w:rsid w:val="000527E1"/>
    <w:rsid w:val="00061CBA"/>
    <w:rsid w:val="000709CB"/>
    <w:rsid w:val="00071FC6"/>
    <w:rsid w:val="00074C09"/>
    <w:rsid w:val="0008518B"/>
    <w:rsid w:val="00092E05"/>
    <w:rsid w:val="00097B48"/>
    <w:rsid w:val="000A3117"/>
    <w:rsid w:val="000B02DF"/>
    <w:rsid w:val="000B7AF0"/>
    <w:rsid w:val="000C49F4"/>
    <w:rsid w:val="000D48F9"/>
    <w:rsid w:val="000D5FA9"/>
    <w:rsid w:val="000E1B06"/>
    <w:rsid w:val="000E44A8"/>
    <w:rsid w:val="000F0EF5"/>
    <w:rsid w:val="000F55E5"/>
    <w:rsid w:val="000F6D14"/>
    <w:rsid w:val="000F78DF"/>
    <w:rsid w:val="000F7AD0"/>
    <w:rsid w:val="00101297"/>
    <w:rsid w:val="00103D4B"/>
    <w:rsid w:val="0010422E"/>
    <w:rsid w:val="001110F2"/>
    <w:rsid w:val="00113104"/>
    <w:rsid w:val="001172E6"/>
    <w:rsid w:val="00121027"/>
    <w:rsid w:val="00126A14"/>
    <w:rsid w:val="00130C55"/>
    <w:rsid w:val="0013338F"/>
    <w:rsid w:val="0013554A"/>
    <w:rsid w:val="00135F01"/>
    <w:rsid w:val="001456F3"/>
    <w:rsid w:val="00151E9C"/>
    <w:rsid w:val="00154A47"/>
    <w:rsid w:val="0016099F"/>
    <w:rsid w:val="0016167E"/>
    <w:rsid w:val="00163F47"/>
    <w:rsid w:val="00166C08"/>
    <w:rsid w:val="00167830"/>
    <w:rsid w:val="0017373B"/>
    <w:rsid w:val="00174BCB"/>
    <w:rsid w:val="0018695A"/>
    <w:rsid w:val="00191FEB"/>
    <w:rsid w:val="001930C7"/>
    <w:rsid w:val="001A1FFA"/>
    <w:rsid w:val="001A5F2A"/>
    <w:rsid w:val="001B10EA"/>
    <w:rsid w:val="001B1EC3"/>
    <w:rsid w:val="001B57C0"/>
    <w:rsid w:val="001B7C23"/>
    <w:rsid w:val="001C1301"/>
    <w:rsid w:val="001C346C"/>
    <w:rsid w:val="001C3866"/>
    <w:rsid w:val="001C45E1"/>
    <w:rsid w:val="001C7682"/>
    <w:rsid w:val="001D0516"/>
    <w:rsid w:val="001D0B14"/>
    <w:rsid w:val="001D3054"/>
    <w:rsid w:val="001E1B52"/>
    <w:rsid w:val="001E4E00"/>
    <w:rsid w:val="001F06B0"/>
    <w:rsid w:val="001F158C"/>
    <w:rsid w:val="001F3E4D"/>
    <w:rsid w:val="00202B7B"/>
    <w:rsid w:val="00202C17"/>
    <w:rsid w:val="00202E49"/>
    <w:rsid w:val="00205838"/>
    <w:rsid w:val="00213D1C"/>
    <w:rsid w:val="00214727"/>
    <w:rsid w:val="00222A55"/>
    <w:rsid w:val="00224FCE"/>
    <w:rsid w:val="0022503A"/>
    <w:rsid w:val="002259F4"/>
    <w:rsid w:val="00230493"/>
    <w:rsid w:val="00233FDA"/>
    <w:rsid w:val="00234FB0"/>
    <w:rsid w:val="00235594"/>
    <w:rsid w:val="0023721B"/>
    <w:rsid w:val="00242EA7"/>
    <w:rsid w:val="002506FB"/>
    <w:rsid w:val="002531C2"/>
    <w:rsid w:val="00256DEA"/>
    <w:rsid w:val="00265F19"/>
    <w:rsid w:val="002671A9"/>
    <w:rsid w:val="00277F19"/>
    <w:rsid w:val="00281429"/>
    <w:rsid w:val="002864D9"/>
    <w:rsid w:val="00295760"/>
    <w:rsid w:val="002A35D3"/>
    <w:rsid w:val="002B1578"/>
    <w:rsid w:val="002C2244"/>
    <w:rsid w:val="002C29A1"/>
    <w:rsid w:val="002C45E0"/>
    <w:rsid w:val="002D1497"/>
    <w:rsid w:val="002D44CF"/>
    <w:rsid w:val="002D4DF4"/>
    <w:rsid w:val="002D66F5"/>
    <w:rsid w:val="002E18F6"/>
    <w:rsid w:val="002E21B0"/>
    <w:rsid w:val="002E2F01"/>
    <w:rsid w:val="002E3C39"/>
    <w:rsid w:val="002E6DF7"/>
    <w:rsid w:val="002F34D5"/>
    <w:rsid w:val="002F4C2B"/>
    <w:rsid w:val="002F4EC3"/>
    <w:rsid w:val="003011D4"/>
    <w:rsid w:val="003066BC"/>
    <w:rsid w:val="003223CE"/>
    <w:rsid w:val="00324064"/>
    <w:rsid w:val="003253E8"/>
    <w:rsid w:val="00331339"/>
    <w:rsid w:val="003343C3"/>
    <w:rsid w:val="00335536"/>
    <w:rsid w:val="00344999"/>
    <w:rsid w:val="0034560D"/>
    <w:rsid w:val="003506A8"/>
    <w:rsid w:val="00350A06"/>
    <w:rsid w:val="00357CB8"/>
    <w:rsid w:val="00362FC6"/>
    <w:rsid w:val="00375D83"/>
    <w:rsid w:val="00381C83"/>
    <w:rsid w:val="0039592E"/>
    <w:rsid w:val="00397944"/>
    <w:rsid w:val="00397EC7"/>
    <w:rsid w:val="003B0EB2"/>
    <w:rsid w:val="003B3095"/>
    <w:rsid w:val="003B446A"/>
    <w:rsid w:val="003B7632"/>
    <w:rsid w:val="003C0B7F"/>
    <w:rsid w:val="003C0E87"/>
    <w:rsid w:val="003C3F8C"/>
    <w:rsid w:val="003C7848"/>
    <w:rsid w:val="003C7DFD"/>
    <w:rsid w:val="003D3D61"/>
    <w:rsid w:val="003D7AAA"/>
    <w:rsid w:val="003E079D"/>
    <w:rsid w:val="003E08A0"/>
    <w:rsid w:val="003E0BC5"/>
    <w:rsid w:val="003E7573"/>
    <w:rsid w:val="003E75AC"/>
    <w:rsid w:val="003F0642"/>
    <w:rsid w:val="003F0EA2"/>
    <w:rsid w:val="003F2D4B"/>
    <w:rsid w:val="003F455E"/>
    <w:rsid w:val="004045D4"/>
    <w:rsid w:val="004049FB"/>
    <w:rsid w:val="00412075"/>
    <w:rsid w:val="004135DA"/>
    <w:rsid w:val="00416967"/>
    <w:rsid w:val="00422519"/>
    <w:rsid w:val="00424110"/>
    <w:rsid w:val="004278F5"/>
    <w:rsid w:val="00430F67"/>
    <w:rsid w:val="004323C6"/>
    <w:rsid w:val="00433ADD"/>
    <w:rsid w:val="00445114"/>
    <w:rsid w:val="00445BAF"/>
    <w:rsid w:val="00451302"/>
    <w:rsid w:val="004515BB"/>
    <w:rsid w:val="00453C67"/>
    <w:rsid w:val="00465A7B"/>
    <w:rsid w:val="00471876"/>
    <w:rsid w:val="004723DC"/>
    <w:rsid w:val="00477B37"/>
    <w:rsid w:val="00477BEA"/>
    <w:rsid w:val="00484B54"/>
    <w:rsid w:val="00487B50"/>
    <w:rsid w:val="00490E89"/>
    <w:rsid w:val="004A4F50"/>
    <w:rsid w:val="004A7540"/>
    <w:rsid w:val="004B389F"/>
    <w:rsid w:val="004B41FC"/>
    <w:rsid w:val="004B44C6"/>
    <w:rsid w:val="004B66AC"/>
    <w:rsid w:val="004C1AF2"/>
    <w:rsid w:val="004D530A"/>
    <w:rsid w:val="004E482B"/>
    <w:rsid w:val="004F14EA"/>
    <w:rsid w:val="004F2DFE"/>
    <w:rsid w:val="004F3B3A"/>
    <w:rsid w:val="004F51A7"/>
    <w:rsid w:val="004F5361"/>
    <w:rsid w:val="004F557D"/>
    <w:rsid w:val="004F6CC9"/>
    <w:rsid w:val="0050088A"/>
    <w:rsid w:val="00502726"/>
    <w:rsid w:val="00502E71"/>
    <w:rsid w:val="0051000F"/>
    <w:rsid w:val="00514639"/>
    <w:rsid w:val="0051673F"/>
    <w:rsid w:val="00520F9E"/>
    <w:rsid w:val="005227E0"/>
    <w:rsid w:val="0052319F"/>
    <w:rsid w:val="005240B4"/>
    <w:rsid w:val="00527D77"/>
    <w:rsid w:val="00532FC2"/>
    <w:rsid w:val="005334A6"/>
    <w:rsid w:val="005340DA"/>
    <w:rsid w:val="005347D6"/>
    <w:rsid w:val="00537CBF"/>
    <w:rsid w:val="00547213"/>
    <w:rsid w:val="00554D79"/>
    <w:rsid w:val="00566957"/>
    <w:rsid w:val="00567A54"/>
    <w:rsid w:val="005712F2"/>
    <w:rsid w:val="005726EA"/>
    <w:rsid w:val="00575625"/>
    <w:rsid w:val="0057688F"/>
    <w:rsid w:val="005841B3"/>
    <w:rsid w:val="00594189"/>
    <w:rsid w:val="005A0783"/>
    <w:rsid w:val="005A0A67"/>
    <w:rsid w:val="005A477C"/>
    <w:rsid w:val="005A63EB"/>
    <w:rsid w:val="005A65CC"/>
    <w:rsid w:val="005A74EF"/>
    <w:rsid w:val="005A77B5"/>
    <w:rsid w:val="005B4812"/>
    <w:rsid w:val="005C13C7"/>
    <w:rsid w:val="005C3B94"/>
    <w:rsid w:val="005D310D"/>
    <w:rsid w:val="005E078C"/>
    <w:rsid w:val="005E57F3"/>
    <w:rsid w:val="005E6492"/>
    <w:rsid w:val="006033B0"/>
    <w:rsid w:val="00604264"/>
    <w:rsid w:val="006048C6"/>
    <w:rsid w:val="00610E1F"/>
    <w:rsid w:val="00616B05"/>
    <w:rsid w:val="0062238E"/>
    <w:rsid w:val="0064540A"/>
    <w:rsid w:val="00645B0F"/>
    <w:rsid w:val="00650AD8"/>
    <w:rsid w:val="00652283"/>
    <w:rsid w:val="006731AD"/>
    <w:rsid w:val="006816EC"/>
    <w:rsid w:val="00684834"/>
    <w:rsid w:val="00684B71"/>
    <w:rsid w:val="0069366B"/>
    <w:rsid w:val="00694184"/>
    <w:rsid w:val="00697D8F"/>
    <w:rsid w:val="006A2251"/>
    <w:rsid w:val="006A7BF3"/>
    <w:rsid w:val="006B02B8"/>
    <w:rsid w:val="006C0C50"/>
    <w:rsid w:val="006C516C"/>
    <w:rsid w:val="006C5A68"/>
    <w:rsid w:val="006D122E"/>
    <w:rsid w:val="006D2544"/>
    <w:rsid w:val="006D7128"/>
    <w:rsid w:val="006E0F76"/>
    <w:rsid w:val="006E70E8"/>
    <w:rsid w:val="006F252F"/>
    <w:rsid w:val="006F4EC9"/>
    <w:rsid w:val="00704CED"/>
    <w:rsid w:val="00705811"/>
    <w:rsid w:val="007104B2"/>
    <w:rsid w:val="00724468"/>
    <w:rsid w:val="00725A54"/>
    <w:rsid w:val="0074011F"/>
    <w:rsid w:val="00742D35"/>
    <w:rsid w:val="007443D9"/>
    <w:rsid w:val="00746164"/>
    <w:rsid w:val="0075590E"/>
    <w:rsid w:val="007563A1"/>
    <w:rsid w:val="00760484"/>
    <w:rsid w:val="007618F2"/>
    <w:rsid w:val="00762C45"/>
    <w:rsid w:val="00763CC8"/>
    <w:rsid w:val="00765E53"/>
    <w:rsid w:val="007660EB"/>
    <w:rsid w:val="00781F08"/>
    <w:rsid w:val="00783F1D"/>
    <w:rsid w:val="00786611"/>
    <w:rsid w:val="00786D89"/>
    <w:rsid w:val="007909BF"/>
    <w:rsid w:val="007914E3"/>
    <w:rsid w:val="00791DD5"/>
    <w:rsid w:val="00791EF7"/>
    <w:rsid w:val="007A480D"/>
    <w:rsid w:val="007A5380"/>
    <w:rsid w:val="007B00B1"/>
    <w:rsid w:val="007B630B"/>
    <w:rsid w:val="007B639E"/>
    <w:rsid w:val="007C0C1A"/>
    <w:rsid w:val="007C5E44"/>
    <w:rsid w:val="007C735E"/>
    <w:rsid w:val="007D10CB"/>
    <w:rsid w:val="007D46EC"/>
    <w:rsid w:val="007D4D0B"/>
    <w:rsid w:val="007E23D5"/>
    <w:rsid w:val="007E7604"/>
    <w:rsid w:val="007F7269"/>
    <w:rsid w:val="0080373C"/>
    <w:rsid w:val="0081106A"/>
    <w:rsid w:val="00811B74"/>
    <w:rsid w:val="00820591"/>
    <w:rsid w:val="00820DFD"/>
    <w:rsid w:val="0082324C"/>
    <w:rsid w:val="00833F8D"/>
    <w:rsid w:val="008364F8"/>
    <w:rsid w:val="00836BA1"/>
    <w:rsid w:val="00841615"/>
    <w:rsid w:val="00846663"/>
    <w:rsid w:val="0085250E"/>
    <w:rsid w:val="008528C0"/>
    <w:rsid w:val="008558C5"/>
    <w:rsid w:val="00866F62"/>
    <w:rsid w:val="00874DD1"/>
    <w:rsid w:val="008801FC"/>
    <w:rsid w:val="008957A3"/>
    <w:rsid w:val="00896B50"/>
    <w:rsid w:val="008A3C8E"/>
    <w:rsid w:val="008A7779"/>
    <w:rsid w:val="008B11EC"/>
    <w:rsid w:val="008B4F56"/>
    <w:rsid w:val="008C2065"/>
    <w:rsid w:val="008C2C28"/>
    <w:rsid w:val="008C3646"/>
    <w:rsid w:val="008C5E27"/>
    <w:rsid w:val="008C6FC0"/>
    <w:rsid w:val="008D4C9F"/>
    <w:rsid w:val="008E1862"/>
    <w:rsid w:val="008E22E5"/>
    <w:rsid w:val="008E532D"/>
    <w:rsid w:val="008F78A8"/>
    <w:rsid w:val="00914C5F"/>
    <w:rsid w:val="00916DAB"/>
    <w:rsid w:val="00917012"/>
    <w:rsid w:val="009250E7"/>
    <w:rsid w:val="009251EB"/>
    <w:rsid w:val="0092742C"/>
    <w:rsid w:val="009276F6"/>
    <w:rsid w:val="00931812"/>
    <w:rsid w:val="0093574E"/>
    <w:rsid w:val="00936976"/>
    <w:rsid w:val="00940397"/>
    <w:rsid w:val="0094058E"/>
    <w:rsid w:val="00940F82"/>
    <w:rsid w:val="00941368"/>
    <w:rsid w:val="0094319D"/>
    <w:rsid w:val="009624EA"/>
    <w:rsid w:val="00973444"/>
    <w:rsid w:val="0097518B"/>
    <w:rsid w:val="009756CC"/>
    <w:rsid w:val="00975C9D"/>
    <w:rsid w:val="00983B7B"/>
    <w:rsid w:val="00985323"/>
    <w:rsid w:val="009900CB"/>
    <w:rsid w:val="00994E82"/>
    <w:rsid w:val="009958CD"/>
    <w:rsid w:val="00996615"/>
    <w:rsid w:val="009A2904"/>
    <w:rsid w:val="009A7569"/>
    <w:rsid w:val="009B15D6"/>
    <w:rsid w:val="009B3481"/>
    <w:rsid w:val="009C6319"/>
    <w:rsid w:val="009C7CB5"/>
    <w:rsid w:val="009E1789"/>
    <w:rsid w:val="009E75F9"/>
    <w:rsid w:val="00A0653E"/>
    <w:rsid w:val="00A1123C"/>
    <w:rsid w:val="00A12431"/>
    <w:rsid w:val="00A141E6"/>
    <w:rsid w:val="00A15DA7"/>
    <w:rsid w:val="00A16804"/>
    <w:rsid w:val="00A17E10"/>
    <w:rsid w:val="00A24836"/>
    <w:rsid w:val="00A278F5"/>
    <w:rsid w:val="00A31BE9"/>
    <w:rsid w:val="00A349CE"/>
    <w:rsid w:val="00A36F3A"/>
    <w:rsid w:val="00A44C60"/>
    <w:rsid w:val="00A51CA5"/>
    <w:rsid w:val="00A5403E"/>
    <w:rsid w:val="00A6539B"/>
    <w:rsid w:val="00A65EE8"/>
    <w:rsid w:val="00A672EE"/>
    <w:rsid w:val="00A679C7"/>
    <w:rsid w:val="00A72CA1"/>
    <w:rsid w:val="00A7305B"/>
    <w:rsid w:val="00A8628E"/>
    <w:rsid w:val="00A875C3"/>
    <w:rsid w:val="00A879BD"/>
    <w:rsid w:val="00A946D2"/>
    <w:rsid w:val="00A95FC4"/>
    <w:rsid w:val="00AB2D5C"/>
    <w:rsid w:val="00AC09C8"/>
    <w:rsid w:val="00AC649F"/>
    <w:rsid w:val="00AD2039"/>
    <w:rsid w:val="00AE473E"/>
    <w:rsid w:val="00AF4F72"/>
    <w:rsid w:val="00AF614C"/>
    <w:rsid w:val="00AF7D61"/>
    <w:rsid w:val="00B02FB4"/>
    <w:rsid w:val="00B038A5"/>
    <w:rsid w:val="00B11252"/>
    <w:rsid w:val="00B119BE"/>
    <w:rsid w:val="00B15498"/>
    <w:rsid w:val="00B15626"/>
    <w:rsid w:val="00B20535"/>
    <w:rsid w:val="00B23F05"/>
    <w:rsid w:val="00B251D4"/>
    <w:rsid w:val="00B257E6"/>
    <w:rsid w:val="00B304D7"/>
    <w:rsid w:val="00B305C8"/>
    <w:rsid w:val="00B30710"/>
    <w:rsid w:val="00B34970"/>
    <w:rsid w:val="00B41083"/>
    <w:rsid w:val="00B4467D"/>
    <w:rsid w:val="00B46208"/>
    <w:rsid w:val="00B5142D"/>
    <w:rsid w:val="00B55CA7"/>
    <w:rsid w:val="00B566BC"/>
    <w:rsid w:val="00B63DBE"/>
    <w:rsid w:val="00B742AA"/>
    <w:rsid w:val="00B75037"/>
    <w:rsid w:val="00B774BD"/>
    <w:rsid w:val="00B77CE6"/>
    <w:rsid w:val="00BA466A"/>
    <w:rsid w:val="00BA5936"/>
    <w:rsid w:val="00BB1C80"/>
    <w:rsid w:val="00BB3301"/>
    <w:rsid w:val="00BC0657"/>
    <w:rsid w:val="00BC56E0"/>
    <w:rsid w:val="00BC72C1"/>
    <w:rsid w:val="00BD30CD"/>
    <w:rsid w:val="00BD53F4"/>
    <w:rsid w:val="00BD5FFA"/>
    <w:rsid w:val="00BD6056"/>
    <w:rsid w:val="00BD7CFA"/>
    <w:rsid w:val="00BF5C52"/>
    <w:rsid w:val="00C00456"/>
    <w:rsid w:val="00C05C51"/>
    <w:rsid w:val="00C10E64"/>
    <w:rsid w:val="00C16581"/>
    <w:rsid w:val="00C1750B"/>
    <w:rsid w:val="00C2774E"/>
    <w:rsid w:val="00C34DA2"/>
    <w:rsid w:val="00C453EB"/>
    <w:rsid w:val="00C45BD0"/>
    <w:rsid w:val="00C54947"/>
    <w:rsid w:val="00C5568F"/>
    <w:rsid w:val="00C558C7"/>
    <w:rsid w:val="00C606CE"/>
    <w:rsid w:val="00C61065"/>
    <w:rsid w:val="00C6147D"/>
    <w:rsid w:val="00C628CB"/>
    <w:rsid w:val="00C6322F"/>
    <w:rsid w:val="00C65B9E"/>
    <w:rsid w:val="00C66EDD"/>
    <w:rsid w:val="00C77566"/>
    <w:rsid w:val="00C81206"/>
    <w:rsid w:val="00C81C60"/>
    <w:rsid w:val="00C81D84"/>
    <w:rsid w:val="00C8227E"/>
    <w:rsid w:val="00C84DDE"/>
    <w:rsid w:val="00C8551E"/>
    <w:rsid w:val="00C90D27"/>
    <w:rsid w:val="00C911C6"/>
    <w:rsid w:val="00C970A6"/>
    <w:rsid w:val="00CA1174"/>
    <w:rsid w:val="00CA213B"/>
    <w:rsid w:val="00CA3D0B"/>
    <w:rsid w:val="00CA73E2"/>
    <w:rsid w:val="00CC173B"/>
    <w:rsid w:val="00CC1ACC"/>
    <w:rsid w:val="00CD06D0"/>
    <w:rsid w:val="00CD13DB"/>
    <w:rsid w:val="00CF4155"/>
    <w:rsid w:val="00D005F4"/>
    <w:rsid w:val="00D05004"/>
    <w:rsid w:val="00D063D1"/>
    <w:rsid w:val="00D12D68"/>
    <w:rsid w:val="00D21B5E"/>
    <w:rsid w:val="00D24763"/>
    <w:rsid w:val="00D26A31"/>
    <w:rsid w:val="00D3021E"/>
    <w:rsid w:val="00D3098C"/>
    <w:rsid w:val="00D33491"/>
    <w:rsid w:val="00D35BAE"/>
    <w:rsid w:val="00D43B79"/>
    <w:rsid w:val="00D4478A"/>
    <w:rsid w:val="00D66B41"/>
    <w:rsid w:val="00D7412E"/>
    <w:rsid w:val="00D771FC"/>
    <w:rsid w:val="00D81CCD"/>
    <w:rsid w:val="00D84040"/>
    <w:rsid w:val="00D84C9A"/>
    <w:rsid w:val="00D8510B"/>
    <w:rsid w:val="00D9140D"/>
    <w:rsid w:val="00DA6B75"/>
    <w:rsid w:val="00DB46DC"/>
    <w:rsid w:val="00DB7A0F"/>
    <w:rsid w:val="00DC087B"/>
    <w:rsid w:val="00DC102A"/>
    <w:rsid w:val="00DC48D5"/>
    <w:rsid w:val="00DF2F71"/>
    <w:rsid w:val="00DF4877"/>
    <w:rsid w:val="00DF491A"/>
    <w:rsid w:val="00E0443F"/>
    <w:rsid w:val="00E046B7"/>
    <w:rsid w:val="00E04DCC"/>
    <w:rsid w:val="00E16745"/>
    <w:rsid w:val="00E173DB"/>
    <w:rsid w:val="00E322EE"/>
    <w:rsid w:val="00E44492"/>
    <w:rsid w:val="00E44A28"/>
    <w:rsid w:val="00E55925"/>
    <w:rsid w:val="00E60FF1"/>
    <w:rsid w:val="00E62EEB"/>
    <w:rsid w:val="00E729DD"/>
    <w:rsid w:val="00E74D69"/>
    <w:rsid w:val="00E86447"/>
    <w:rsid w:val="00EA2A1E"/>
    <w:rsid w:val="00EB2310"/>
    <w:rsid w:val="00EB3F6D"/>
    <w:rsid w:val="00EB7D62"/>
    <w:rsid w:val="00EC01AF"/>
    <w:rsid w:val="00EC0A06"/>
    <w:rsid w:val="00EC16C8"/>
    <w:rsid w:val="00EC223A"/>
    <w:rsid w:val="00EC6699"/>
    <w:rsid w:val="00ED1207"/>
    <w:rsid w:val="00ED62BD"/>
    <w:rsid w:val="00EE1E08"/>
    <w:rsid w:val="00EE2574"/>
    <w:rsid w:val="00EE4045"/>
    <w:rsid w:val="00EE5578"/>
    <w:rsid w:val="00EE5F69"/>
    <w:rsid w:val="00EE6B2C"/>
    <w:rsid w:val="00EE7562"/>
    <w:rsid w:val="00EF09D1"/>
    <w:rsid w:val="00F07E5B"/>
    <w:rsid w:val="00F1589A"/>
    <w:rsid w:val="00F3408F"/>
    <w:rsid w:val="00F50567"/>
    <w:rsid w:val="00F50C66"/>
    <w:rsid w:val="00F54FE7"/>
    <w:rsid w:val="00F5720A"/>
    <w:rsid w:val="00F5738E"/>
    <w:rsid w:val="00F60700"/>
    <w:rsid w:val="00F60CD4"/>
    <w:rsid w:val="00F7166E"/>
    <w:rsid w:val="00F71D04"/>
    <w:rsid w:val="00F73F84"/>
    <w:rsid w:val="00F74850"/>
    <w:rsid w:val="00F74DD5"/>
    <w:rsid w:val="00F81082"/>
    <w:rsid w:val="00F81AD3"/>
    <w:rsid w:val="00F825D7"/>
    <w:rsid w:val="00F860AC"/>
    <w:rsid w:val="00F86934"/>
    <w:rsid w:val="00F90018"/>
    <w:rsid w:val="00F93A0C"/>
    <w:rsid w:val="00F953E0"/>
    <w:rsid w:val="00F97048"/>
    <w:rsid w:val="00FA047B"/>
    <w:rsid w:val="00FB1679"/>
    <w:rsid w:val="00FB3537"/>
    <w:rsid w:val="00FB371A"/>
    <w:rsid w:val="00FC2B4A"/>
    <w:rsid w:val="00FD049E"/>
    <w:rsid w:val="00FD3A8D"/>
    <w:rsid w:val="00FD7228"/>
    <w:rsid w:val="00FD7804"/>
    <w:rsid w:val="00FE0B14"/>
    <w:rsid w:val="00FE14F5"/>
    <w:rsid w:val="00FE15F3"/>
    <w:rsid w:val="00FE2755"/>
    <w:rsid w:val="00FE3E63"/>
    <w:rsid w:val="00FE658D"/>
    <w:rsid w:val="00FF4396"/>
    <w:rsid w:val="00FF48C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6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6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4885</Words>
  <Characters>26382</Characters>
  <Application>Microsoft Office Word</Application>
  <DocSecurity>0</DocSecurity>
  <Lines>219</Lines>
  <Paragraphs>62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University of Piraeus</Company>
  <LinksUpToDate>false</LinksUpToDate>
  <CharactersWithSpaces>31205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Helpdesk - ITSupport</dc:creator>
  <cp:keywords/>
  <dc:description/>
  <cp:lastModifiedBy>Sony</cp:lastModifiedBy>
  <cp:revision>3</cp:revision>
  <dcterms:created xsi:type="dcterms:W3CDTF">2013-12-19T18:10:00Z</dcterms:created>
  <dcterms:modified xsi:type="dcterms:W3CDTF">2022-03-15T18:12:00Z</dcterms:modified>
</cp:coreProperties>
</file>