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3AA38" w14:textId="77777777" w:rsidR="00D42D3E" w:rsidRPr="00D42D3E" w:rsidRDefault="00D42D3E" w:rsidP="00D42D3E">
      <w:pPr>
        <w:pBdr>
          <w:bottom w:val="single" w:sz="6" w:space="0" w:color="A2A9B1"/>
        </w:pBdr>
        <w:spacing w:after="60" w:line="240" w:lineRule="auto"/>
        <w:outlineLvl w:val="0"/>
        <w:rPr>
          <w:rFonts w:ascii="&amp;quot" w:eastAsia="Times New Roman" w:hAnsi="&amp;quot" w:cs="Times New Roman"/>
          <w:color w:val="000000"/>
          <w:kern w:val="36"/>
          <w:sz w:val="43"/>
          <w:szCs w:val="43"/>
          <w:lang w:val="el-GR" w:eastAsia="en-GB"/>
        </w:rPr>
      </w:pPr>
      <w:r w:rsidRPr="00D42D3E">
        <w:rPr>
          <w:rFonts w:ascii="&amp;quot" w:eastAsia="Times New Roman" w:hAnsi="&amp;quot" w:cs="Times New Roman"/>
          <w:color w:val="000000"/>
          <w:kern w:val="36"/>
          <w:sz w:val="43"/>
          <w:szCs w:val="43"/>
          <w:lang w:val="el-GR" w:eastAsia="en-GB"/>
        </w:rPr>
        <w:t>Κομεντί Φρανσαίζ</w:t>
      </w:r>
    </w:p>
    <w:p w14:paraId="0A95F171" w14:textId="3FE71B46" w:rsidR="00D42D3E" w:rsidRPr="00D42D3E" w:rsidRDefault="00D42D3E" w:rsidP="00D42D3E">
      <w:pPr>
        <w:spacing w:after="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 </w:t>
      </w:r>
    </w:p>
    <w:p w14:paraId="12A88AE9" w14:textId="77777777"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Η </w:t>
      </w:r>
      <w:r w:rsidRPr="00D42D3E">
        <w:rPr>
          <w:rFonts w:ascii="Arial" w:eastAsia="Times New Roman" w:hAnsi="Arial" w:cs="Arial"/>
          <w:b/>
          <w:bCs/>
          <w:color w:val="202122"/>
          <w:sz w:val="24"/>
          <w:szCs w:val="24"/>
          <w:lang w:val="el-GR" w:eastAsia="en-GB"/>
        </w:rPr>
        <w:t>Κομεντί Φρανσαίζ</w:t>
      </w:r>
      <w:r w:rsidRPr="00D42D3E">
        <w:rPr>
          <w:rFonts w:ascii="Arial" w:eastAsia="Times New Roman" w:hAnsi="Arial" w:cs="Arial"/>
          <w:color w:val="202122"/>
          <w:sz w:val="24"/>
          <w:szCs w:val="24"/>
          <w:lang w:val="el-GR" w:eastAsia="en-GB"/>
        </w:rPr>
        <w:t xml:space="preserve"> (Comédie Française) ή </w:t>
      </w:r>
      <w:r w:rsidRPr="00D42D3E">
        <w:rPr>
          <w:rFonts w:ascii="Arial" w:eastAsia="Times New Roman" w:hAnsi="Arial" w:cs="Arial"/>
          <w:b/>
          <w:bCs/>
          <w:color w:val="202122"/>
          <w:sz w:val="24"/>
          <w:szCs w:val="24"/>
          <w:lang w:val="el-GR" w:eastAsia="en-GB"/>
        </w:rPr>
        <w:t>Γαλλικό Θέατρο</w:t>
      </w:r>
      <w:r w:rsidRPr="00D42D3E">
        <w:rPr>
          <w:rFonts w:ascii="Arial" w:eastAsia="Times New Roman" w:hAnsi="Arial" w:cs="Arial"/>
          <w:color w:val="202122"/>
          <w:sz w:val="24"/>
          <w:szCs w:val="24"/>
          <w:lang w:val="el-GR" w:eastAsia="en-GB"/>
        </w:rPr>
        <w:t xml:space="preserve"> (Théâtre-Français) είναι ένα γαλλικό πολιτιστικό ίδρυμα που ιδρύθηκε το 1680 και στεγάζεται από το 1799 στην αίθουσα Ρισελιέ στο </w:t>
      </w:r>
      <w:hyperlink r:id="rId4" w:tooltip="Παλαί Ρουαγιάλ" w:history="1">
        <w:r w:rsidRPr="00D42D3E">
          <w:rPr>
            <w:rFonts w:ascii="Arial" w:eastAsia="Times New Roman" w:hAnsi="Arial" w:cs="Arial"/>
            <w:color w:val="0645AD"/>
            <w:sz w:val="24"/>
            <w:szCs w:val="24"/>
            <w:lang w:val="el-GR" w:eastAsia="en-GB"/>
          </w:rPr>
          <w:t>Παλαί Ρουαγιάλ,</w:t>
        </w:r>
      </w:hyperlink>
      <w:r w:rsidRPr="00D42D3E">
        <w:rPr>
          <w:rFonts w:ascii="Arial" w:eastAsia="Times New Roman" w:hAnsi="Arial" w:cs="Arial"/>
          <w:color w:val="202122"/>
          <w:sz w:val="24"/>
          <w:szCs w:val="24"/>
          <w:lang w:val="el-GR" w:eastAsia="en-GB"/>
        </w:rPr>
        <w:t xml:space="preserve"> στο </w:t>
      </w:r>
      <w:hyperlink r:id="rId5" w:tooltip="1ο διαμέρισμα του Παρισιού" w:history="1">
        <w:r w:rsidRPr="00D42D3E">
          <w:rPr>
            <w:rFonts w:ascii="Arial" w:eastAsia="Times New Roman" w:hAnsi="Arial" w:cs="Arial"/>
            <w:color w:val="0645AD"/>
            <w:sz w:val="24"/>
            <w:szCs w:val="24"/>
            <w:lang w:val="el-GR" w:eastAsia="en-GB"/>
          </w:rPr>
          <w:t>1ο διαμέρισμα του Παρισιού</w:t>
        </w:r>
      </w:hyperlink>
      <w:r w:rsidRPr="00D42D3E">
        <w:rPr>
          <w:rFonts w:ascii="Arial" w:eastAsia="Times New Roman" w:hAnsi="Arial" w:cs="Arial"/>
          <w:color w:val="202122"/>
          <w:sz w:val="24"/>
          <w:szCs w:val="24"/>
          <w:lang w:val="el-GR" w:eastAsia="en-GB"/>
        </w:rPr>
        <w:t xml:space="preserve">. Θεωρείται το παλαιότερο ενεργό θέατρο στον κόσμο. Ονομάστηκε Γαλλικό θέατρο (Comédie Française) σε αντιδιαστολή προς το Ιταλικό θέατρο (Comédie Italienne), που ήταν επίσης πολύ δημοφιλές τον 17ο αιώνα στη Γαλλία. </w:t>
      </w:r>
    </w:p>
    <w:p w14:paraId="66E5C25E" w14:textId="153A86C0"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Είναι γαλλικός κρατικός ελεγχόμενος φορέας από το 1995 και το μοναδικό κρατικό θέατρο στη Γαλλία που έχει τον δικό του μόνιμο θίασο ηθοποιών </w:t>
      </w:r>
    </w:p>
    <w:p w14:paraId="175E730E" w14:textId="015037A4"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Ο όρος αναφέρεται αφενός μεν στο θίασο, αφετέρου δε στο θέατρο όπου στεγάζεται στο Παλαί Ρουαγιάλ, που είναι ένα πολιτιστικό ίδρυμα γνωστό και ως Οικία του Μολιέρου (La Maison de Molière), προς τιμήν του </w:t>
      </w:r>
      <w:hyperlink r:id="rId6" w:tooltip="Μολιέρος" w:history="1">
        <w:r w:rsidRPr="00D42D3E">
          <w:rPr>
            <w:rFonts w:ascii="Arial" w:eastAsia="Times New Roman" w:hAnsi="Arial" w:cs="Arial"/>
            <w:color w:val="0645AD"/>
            <w:sz w:val="24"/>
            <w:szCs w:val="24"/>
            <w:lang w:val="el-GR" w:eastAsia="en-GB"/>
          </w:rPr>
          <w:t>Μολιέρου</w:t>
        </w:r>
      </w:hyperlink>
      <w:r w:rsidRPr="00D42D3E">
        <w:rPr>
          <w:rFonts w:ascii="Arial" w:eastAsia="Times New Roman" w:hAnsi="Arial" w:cs="Arial"/>
          <w:color w:val="202122"/>
          <w:sz w:val="24"/>
          <w:szCs w:val="24"/>
          <w:lang w:val="el-GR" w:eastAsia="en-GB"/>
        </w:rPr>
        <w:t xml:space="preserve"> που, αν και είχε πεθάνει επτά χρόνια πριν ο θίασός του γίνει γνωστός ως Κομεντί Φρανσαίζ, θεωρείται ως «πάτρωνας» του ιδρύματος.</w:t>
      </w:r>
      <w:hyperlink r:id="rId7" w:anchor="cite_note-6" w:history="1">
        <w:r w:rsidRPr="00D42D3E">
          <w:rPr>
            <w:rFonts w:ascii="Arial" w:eastAsia="Times New Roman" w:hAnsi="Arial" w:cs="Arial"/>
            <w:color w:val="0645AD"/>
            <w:sz w:val="24"/>
            <w:szCs w:val="24"/>
            <w:vertAlign w:val="superscript"/>
            <w:lang w:val="el-GR" w:eastAsia="en-GB"/>
          </w:rPr>
          <w:t>[6]</w:t>
        </w:r>
      </w:hyperlink>
      <w:r w:rsidRPr="00D42D3E">
        <w:rPr>
          <w:rFonts w:ascii="Arial" w:eastAsia="Times New Roman" w:hAnsi="Arial" w:cs="Arial"/>
          <w:color w:val="202122"/>
          <w:sz w:val="24"/>
          <w:szCs w:val="24"/>
          <w:lang w:val="el-GR" w:eastAsia="en-GB"/>
        </w:rPr>
        <w:t xml:space="preserve"> Η πολυθρόνα στην οποία κατέρρευσε κατά τη διάρκεια παράστασης του έργου </w:t>
      </w:r>
      <w:hyperlink r:id="rId8" w:tooltip="Ο κατά φαντασίαν ασθενής" w:history="1">
        <w:r w:rsidRPr="00D42D3E">
          <w:rPr>
            <w:rFonts w:ascii="Arial" w:eastAsia="Times New Roman" w:hAnsi="Arial" w:cs="Arial"/>
            <w:color w:val="0645AD"/>
            <w:sz w:val="24"/>
            <w:szCs w:val="24"/>
            <w:lang w:val="el-GR" w:eastAsia="en-GB"/>
          </w:rPr>
          <w:t xml:space="preserve">ο </w:t>
        </w:r>
        <w:r w:rsidRPr="00D42D3E">
          <w:rPr>
            <w:rFonts w:ascii="Arial" w:eastAsia="Times New Roman" w:hAnsi="Arial" w:cs="Arial"/>
            <w:i/>
            <w:iCs/>
            <w:color w:val="0645AD"/>
            <w:sz w:val="24"/>
            <w:szCs w:val="24"/>
            <w:lang w:val="el-GR" w:eastAsia="en-GB"/>
          </w:rPr>
          <w:t>Κατά φαντασίαν ασθενής</w:t>
        </w:r>
      </w:hyperlink>
      <w:r w:rsidRPr="00D42D3E">
        <w:rPr>
          <w:rFonts w:ascii="Arial" w:eastAsia="Times New Roman" w:hAnsi="Arial" w:cs="Arial"/>
          <w:color w:val="202122"/>
          <w:sz w:val="24"/>
          <w:szCs w:val="24"/>
          <w:lang w:val="el-GR" w:eastAsia="en-GB"/>
        </w:rPr>
        <w:t xml:space="preserve"> είναι πάντοτε εκτεθειμένη στο πίσω μέρος της γκαλερί προτομών. </w:t>
      </w:r>
    </w:p>
    <w:p w14:paraId="1AA1CD60" w14:textId="77777777" w:rsidR="00D42D3E" w:rsidRDefault="00D42D3E" w:rsidP="00D42D3E">
      <w:pPr>
        <w:pBdr>
          <w:bottom w:val="single" w:sz="6" w:space="0" w:color="A2A9B1"/>
        </w:pBdr>
        <w:spacing w:before="240" w:after="60" w:line="240" w:lineRule="auto"/>
        <w:outlineLvl w:val="1"/>
        <w:rPr>
          <w:rFonts w:ascii="Arial" w:eastAsia="Times New Roman" w:hAnsi="Arial" w:cs="Arial"/>
          <w:color w:val="54595D"/>
          <w:sz w:val="24"/>
          <w:szCs w:val="24"/>
          <w:lang w:val="el-GR" w:eastAsia="en-GB"/>
        </w:rPr>
      </w:pPr>
      <w:r w:rsidRPr="00D42D3E">
        <w:rPr>
          <w:rFonts w:ascii="&amp;quot" w:eastAsia="Times New Roman" w:hAnsi="&amp;quot" w:cs="Arial"/>
          <w:color w:val="000000"/>
          <w:sz w:val="36"/>
          <w:szCs w:val="36"/>
          <w:lang w:val="el-GR" w:eastAsia="en-GB"/>
        </w:rPr>
        <w:t>Ιστορικό</w:t>
      </w:r>
    </w:p>
    <w:p w14:paraId="07409A4B" w14:textId="4C509DF6" w:rsidR="00D42D3E" w:rsidRPr="00D42D3E" w:rsidRDefault="00D42D3E" w:rsidP="00D42D3E">
      <w:pPr>
        <w:pBdr>
          <w:bottom w:val="single" w:sz="6" w:space="0" w:color="A2A9B1"/>
        </w:pBdr>
        <w:spacing w:before="240" w:after="60" w:line="240" w:lineRule="auto"/>
        <w:outlineLvl w:val="1"/>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Η Κομεντί Φρανσαίζ ιδρύθηκε με βασιλικό διάταγμα του </w:t>
      </w:r>
      <w:hyperlink r:id="rId9" w:tooltip="Λουδοβίκος ΙΔ΄ της Γαλλίας" w:history="1">
        <w:r w:rsidRPr="00D42D3E">
          <w:rPr>
            <w:rFonts w:ascii="Arial" w:eastAsia="Times New Roman" w:hAnsi="Arial" w:cs="Arial"/>
            <w:color w:val="0645AD"/>
            <w:sz w:val="24"/>
            <w:szCs w:val="24"/>
            <w:lang w:val="el-GR" w:eastAsia="en-GB"/>
          </w:rPr>
          <w:t>Λουδοβίκου ΙΔ΄</w:t>
        </w:r>
      </w:hyperlink>
      <w:r w:rsidRPr="00D42D3E">
        <w:rPr>
          <w:rFonts w:ascii="Arial" w:eastAsia="Times New Roman" w:hAnsi="Arial" w:cs="Arial"/>
          <w:color w:val="202122"/>
          <w:sz w:val="24"/>
          <w:szCs w:val="24"/>
          <w:lang w:val="el-GR" w:eastAsia="en-GB"/>
        </w:rPr>
        <w:t xml:space="preserve"> το 1680 με τη συγχώνευση του θιάσου του Μολιέρου με τον θίασο του θεάτρου της Βουργουνδίας (hôtel de Bourgogne). Ο θίασος εγκαταστάθηκε αρχικά στο θέατρο Γκενεγκώ και αργότερα στην οδό Φοσέ Σαιν Ζερμαίν ντε Πρέ, όπου παρέμεινε ως το 1770 και όπου η πρώτη παράσταση ήταν η </w:t>
      </w:r>
      <w:r w:rsidRPr="00D42D3E">
        <w:rPr>
          <w:rFonts w:ascii="Arial" w:eastAsia="Times New Roman" w:hAnsi="Arial" w:cs="Arial"/>
          <w:i/>
          <w:iCs/>
          <w:color w:val="202122"/>
          <w:sz w:val="24"/>
          <w:szCs w:val="24"/>
          <w:lang w:val="el-GR" w:eastAsia="en-GB"/>
        </w:rPr>
        <w:t>Φαίδρα</w:t>
      </w:r>
      <w:r w:rsidRPr="00D42D3E">
        <w:rPr>
          <w:rFonts w:ascii="Arial" w:eastAsia="Times New Roman" w:hAnsi="Arial" w:cs="Arial"/>
          <w:color w:val="202122"/>
          <w:sz w:val="24"/>
          <w:szCs w:val="24"/>
          <w:lang w:val="el-GR" w:eastAsia="en-GB"/>
        </w:rPr>
        <w:t xml:space="preserve"> του </w:t>
      </w:r>
      <w:hyperlink r:id="rId10" w:tooltip="Ρακίνας" w:history="1">
        <w:r w:rsidRPr="00D42D3E">
          <w:rPr>
            <w:rFonts w:ascii="Arial" w:eastAsia="Times New Roman" w:hAnsi="Arial" w:cs="Arial"/>
            <w:color w:val="0645AD"/>
            <w:sz w:val="24"/>
            <w:szCs w:val="24"/>
            <w:lang w:val="el-GR" w:eastAsia="en-GB"/>
          </w:rPr>
          <w:t>Ρακίνα</w:t>
        </w:r>
      </w:hyperlink>
      <w:r w:rsidRPr="00D42D3E">
        <w:rPr>
          <w:rFonts w:ascii="Arial" w:eastAsia="Times New Roman" w:hAnsi="Arial" w:cs="Arial"/>
          <w:color w:val="202122"/>
          <w:sz w:val="24"/>
          <w:szCs w:val="24"/>
          <w:lang w:val="el-GR" w:eastAsia="en-GB"/>
        </w:rPr>
        <w:t xml:space="preserve"> και ο </w:t>
      </w:r>
      <w:r w:rsidRPr="00D42D3E">
        <w:rPr>
          <w:rFonts w:ascii="Arial" w:eastAsia="Times New Roman" w:hAnsi="Arial" w:cs="Arial"/>
          <w:i/>
          <w:iCs/>
          <w:color w:val="202122"/>
          <w:sz w:val="24"/>
          <w:szCs w:val="24"/>
          <w:lang w:val="el-GR" w:eastAsia="en-GB"/>
        </w:rPr>
        <w:t>Γιατρός με το ζόρι</w:t>
      </w:r>
      <w:r w:rsidRPr="00D42D3E">
        <w:rPr>
          <w:rFonts w:ascii="Arial" w:eastAsia="Times New Roman" w:hAnsi="Arial" w:cs="Arial"/>
          <w:color w:val="202122"/>
          <w:sz w:val="24"/>
          <w:szCs w:val="24"/>
          <w:lang w:val="el-GR" w:eastAsia="en-GB"/>
        </w:rPr>
        <w:t xml:space="preserve"> του </w:t>
      </w:r>
      <w:hyperlink r:id="rId11" w:tooltip="Μολιέρος" w:history="1">
        <w:r w:rsidRPr="00D42D3E">
          <w:rPr>
            <w:rFonts w:ascii="Arial" w:eastAsia="Times New Roman" w:hAnsi="Arial" w:cs="Arial"/>
            <w:color w:val="0645AD"/>
            <w:sz w:val="24"/>
            <w:szCs w:val="24"/>
            <w:lang w:val="el-GR" w:eastAsia="en-GB"/>
          </w:rPr>
          <w:t>Μολιέρου</w:t>
        </w:r>
      </w:hyperlink>
      <w:r w:rsidRPr="00D42D3E">
        <w:rPr>
          <w:rFonts w:ascii="Arial" w:eastAsia="Times New Roman" w:hAnsi="Arial" w:cs="Arial"/>
          <w:color w:val="202122"/>
          <w:sz w:val="24"/>
          <w:szCs w:val="24"/>
          <w:lang w:val="el-GR" w:eastAsia="en-GB"/>
        </w:rPr>
        <w:t xml:space="preserve">, κάνοντας χρήση της βασιλικής πράξης που τους παραχώρησε το μονοπώλιο να παίζουν στο Παρίσι Ρακίνα, </w:t>
      </w:r>
      <w:hyperlink r:id="rId12" w:tooltip="Πιερ Κορνέιγ" w:history="1">
        <w:r w:rsidRPr="00D42D3E">
          <w:rPr>
            <w:rFonts w:ascii="Arial" w:eastAsia="Times New Roman" w:hAnsi="Arial" w:cs="Arial"/>
            <w:color w:val="0645AD"/>
            <w:sz w:val="24"/>
            <w:szCs w:val="24"/>
            <w:lang w:val="el-GR" w:eastAsia="en-GB"/>
          </w:rPr>
          <w:t>Κορνέιγ</w:t>
        </w:r>
      </w:hyperlink>
      <w:r w:rsidRPr="00D42D3E">
        <w:rPr>
          <w:rFonts w:ascii="Arial" w:eastAsia="Times New Roman" w:hAnsi="Arial" w:cs="Arial"/>
          <w:color w:val="202122"/>
          <w:sz w:val="24"/>
          <w:szCs w:val="24"/>
          <w:lang w:val="el-GR" w:eastAsia="en-GB"/>
        </w:rPr>
        <w:t xml:space="preserve"> και Μολιέρο, προνόμιο το οποίο οι Γάλλοι ηθοποιοί (Comédiens-Français) θα υπερασπιστούν σθεναρά κατά τον 18ο αιώνα, ιδιαίτερα κατά των ανταγωνιστών τους Ιταλών ηθοποιών (Comédiens-Italiens). </w:t>
      </w:r>
    </w:p>
    <w:p w14:paraId="546BDE13" w14:textId="4BC8C826"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Το ρεπερτόριό τους αποτελούνταν από τις κωμωδίες του Μολιέρου και τα έργα του Ρακίνα, Πιέρ Κορνέιγ, </w:t>
      </w:r>
      <w:hyperlink r:id="rId13" w:tooltip="Πωλ Σκαρρόν" w:history="1">
        <w:r w:rsidRPr="00D42D3E">
          <w:rPr>
            <w:rFonts w:ascii="Arial" w:eastAsia="Times New Roman" w:hAnsi="Arial" w:cs="Arial"/>
            <w:color w:val="0645AD"/>
            <w:sz w:val="24"/>
            <w:szCs w:val="24"/>
            <w:lang w:val="el-GR" w:eastAsia="en-GB"/>
          </w:rPr>
          <w:t>Πωλ Σκαρρόν</w:t>
        </w:r>
      </w:hyperlink>
      <w:r w:rsidRPr="00D42D3E">
        <w:rPr>
          <w:rFonts w:ascii="Arial" w:eastAsia="Times New Roman" w:hAnsi="Arial" w:cs="Arial"/>
          <w:color w:val="202122"/>
          <w:sz w:val="24"/>
          <w:szCs w:val="24"/>
          <w:lang w:val="el-GR" w:eastAsia="en-GB"/>
        </w:rPr>
        <w:t xml:space="preserve"> και Ζαν Ροτρού. Οι συνηθισμένες παραστάσεις περιελάμβαναν δύο έργα: στην αρχή ένα σοβαρό έργο και κατόπιν μία κωμωδία. Το σοβαρό παιζόταν μετά τον εσπερινό, στις 5 το απόγευμα και αμέσως μετά ανέβαινε το εύθυμο. Σύμφωνα με τους κανόνες του συνδέσμου των ηθοποιών και τα βασιλικά διατάγματα αυτή η πρακτική συνεχίστηκε και στον 18ο αιώνα. </w:t>
      </w:r>
    </w:p>
    <w:p w14:paraId="49336CE6" w14:textId="77777777"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Το 1792, κατά τη διάρκεια της </w:t>
      </w:r>
      <w:hyperlink r:id="rId14" w:tooltip="Γαλλική Επανάσταση" w:history="1">
        <w:r w:rsidRPr="00D42D3E">
          <w:rPr>
            <w:rFonts w:ascii="Arial" w:eastAsia="Times New Roman" w:hAnsi="Arial" w:cs="Arial"/>
            <w:color w:val="0645AD"/>
            <w:sz w:val="24"/>
            <w:szCs w:val="24"/>
            <w:lang w:val="el-GR" w:eastAsia="en-GB"/>
          </w:rPr>
          <w:t>Γαλλικής Επανάστασης</w:t>
        </w:r>
      </w:hyperlink>
      <w:r w:rsidRPr="00D42D3E">
        <w:rPr>
          <w:rFonts w:ascii="Arial" w:eastAsia="Times New Roman" w:hAnsi="Arial" w:cs="Arial"/>
          <w:color w:val="202122"/>
          <w:sz w:val="24"/>
          <w:szCs w:val="24"/>
          <w:lang w:val="el-GR" w:eastAsia="en-GB"/>
        </w:rPr>
        <w:t xml:space="preserve">, η Κομεντί Φρανσαίζ έκλεισε με εντολή της </w:t>
      </w:r>
      <w:hyperlink r:id="rId15" w:tooltip="Επιτροπή Κοινής Σωτηρίας" w:history="1">
        <w:r w:rsidRPr="00D42D3E">
          <w:rPr>
            <w:rFonts w:ascii="Arial" w:eastAsia="Times New Roman" w:hAnsi="Arial" w:cs="Arial"/>
            <w:color w:val="0645AD"/>
            <w:sz w:val="24"/>
            <w:szCs w:val="24"/>
            <w:lang w:val="el-GR" w:eastAsia="en-GB"/>
          </w:rPr>
          <w:t>Επιτροπής Κοινής Σωτηρίας</w:t>
        </w:r>
      </w:hyperlink>
      <w:r w:rsidRPr="00D42D3E">
        <w:rPr>
          <w:rFonts w:ascii="Arial" w:eastAsia="Times New Roman" w:hAnsi="Arial" w:cs="Arial"/>
          <w:color w:val="202122"/>
          <w:sz w:val="24"/>
          <w:szCs w:val="24"/>
          <w:lang w:val="el-GR" w:eastAsia="en-GB"/>
        </w:rPr>
        <w:t xml:space="preserve">. </w:t>
      </w:r>
    </w:p>
    <w:p w14:paraId="54E57FE8" w14:textId="70B33537"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 xml:space="preserve">Το 1799 η νέα κυβέρνηση, με σκοπό να υποστηρίξει τους ηθοποιούς να ανασυστήσουν τον θίασο, τους πρόσφερε την αίθουσα του θεάτρου της Δημοκρατίας (αίθουσα Ρισελιέ) στο </w:t>
      </w:r>
      <w:hyperlink r:id="rId16" w:tooltip="Παλαί Ρουαγιάλ" w:history="1">
        <w:r w:rsidRPr="00D42D3E">
          <w:rPr>
            <w:rFonts w:ascii="Arial" w:eastAsia="Times New Roman" w:hAnsi="Arial" w:cs="Arial"/>
            <w:color w:val="0645AD"/>
            <w:sz w:val="24"/>
            <w:szCs w:val="24"/>
            <w:lang w:val="el-GR" w:eastAsia="en-GB"/>
          </w:rPr>
          <w:t>Παλαί Ρουαγιάλ</w:t>
        </w:r>
      </w:hyperlink>
      <w:r w:rsidRPr="00D42D3E">
        <w:rPr>
          <w:rFonts w:ascii="Arial" w:eastAsia="Times New Roman" w:hAnsi="Arial" w:cs="Arial"/>
          <w:color w:val="202122"/>
          <w:sz w:val="24"/>
          <w:szCs w:val="24"/>
          <w:lang w:val="el-GR" w:eastAsia="en-GB"/>
        </w:rPr>
        <w:t xml:space="preserve">, χώρο από τον οποίο δεν μετακινήθηκαν έκτοτε. Η αίθουσα είχε κατασκευαστεί από τον αρχιτέκτονα Βικτόρ Λουί το 1787, είναι χωρητικότητας 900 θέσεων σήμερα και καλύπτεται από τρούλο ζωγραφισμένο από τον Αλμπέρ Μπενάρ. Επίσης όλοι οι χώροι, προθάλαμοι, φουαγιέ, γραφεία κ.α., κοσμούνται με πίνακες, γλυπτά, προτομές συγγραφέων και ηθοποιών, έργα διάσημων καλλιτεχνών. </w:t>
      </w:r>
    </w:p>
    <w:p w14:paraId="0368C4A5" w14:textId="77777777"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lastRenderedPageBreak/>
        <w:t xml:space="preserve">Το 1812, ο αυτοκράτορας </w:t>
      </w:r>
      <w:hyperlink r:id="rId17" w:tooltip="Ναπολέων Α΄" w:history="1">
        <w:r w:rsidRPr="00D42D3E">
          <w:rPr>
            <w:rFonts w:ascii="Arial" w:eastAsia="Times New Roman" w:hAnsi="Arial" w:cs="Arial"/>
            <w:color w:val="0645AD"/>
            <w:sz w:val="24"/>
            <w:szCs w:val="24"/>
            <w:lang w:val="el-GR" w:eastAsia="en-GB"/>
          </w:rPr>
          <w:t>Ναπολέων Α΄</w:t>
        </w:r>
      </w:hyperlink>
      <w:r w:rsidRPr="00D42D3E">
        <w:rPr>
          <w:rFonts w:ascii="Arial" w:eastAsia="Times New Roman" w:hAnsi="Arial" w:cs="Arial"/>
          <w:color w:val="202122"/>
          <w:sz w:val="24"/>
          <w:szCs w:val="24"/>
          <w:lang w:val="el-GR" w:eastAsia="en-GB"/>
        </w:rPr>
        <w:t xml:space="preserve"> αναδιοργάνωσε την Κομεντί Φρανσαίζ με επίσημο διάταγμα ανασύστασης που υπέγραψε στη Μόσχα, που σε γενικές γραμμές εξακολουθεί να ισχύει έως σήμερα.</w:t>
      </w:r>
      <w:hyperlink r:id="rId18" w:anchor="cite_note-11" w:history="1">
        <w:r w:rsidRPr="00D42D3E">
          <w:rPr>
            <w:rFonts w:ascii="Arial" w:eastAsia="Times New Roman" w:hAnsi="Arial" w:cs="Arial"/>
            <w:color w:val="0645AD"/>
            <w:sz w:val="24"/>
            <w:szCs w:val="24"/>
            <w:vertAlign w:val="superscript"/>
            <w:lang w:val="el-GR" w:eastAsia="en-GB"/>
          </w:rPr>
          <w:t>[11]</w:t>
        </w:r>
      </w:hyperlink>
      <w:r w:rsidRPr="00D42D3E">
        <w:rPr>
          <w:rFonts w:ascii="Arial" w:eastAsia="Times New Roman" w:hAnsi="Arial" w:cs="Arial"/>
          <w:color w:val="202122"/>
          <w:sz w:val="24"/>
          <w:szCs w:val="24"/>
          <w:lang w:val="el-GR" w:eastAsia="en-GB"/>
        </w:rPr>
        <w:t xml:space="preserve"> </w:t>
      </w:r>
    </w:p>
    <w:p w14:paraId="654CADDA" w14:textId="183496BA" w:rsidR="00D42D3E" w:rsidRDefault="00D42D3E" w:rsidP="00D42D3E">
      <w:pPr>
        <w:spacing w:before="120" w:after="120" w:line="240" w:lineRule="auto"/>
        <w:rPr>
          <w:rFonts w:ascii="Arial" w:eastAsia="Times New Roman" w:hAnsi="Arial" w:cs="Arial"/>
          <w:color w:val="202122"/>
          <w:sz w:val="24"/>
          <w:szCs w:val="24"/>
          <w:lang w:val="el-GR" w:eastAsia="en-GB"/>
        </w:rPr>
      </w:pPr>
      <w:r w:rsidRPr="00D42D3E">
        <w:rPr>
          <w:rFonts w:ascii="Arial" w:eastAsia="Times New Roman" w:hAnsi="Arial" w:cs="Arial"/>
          <w:color w:val="202122"/>
          <w:sz w:val="24"/>
          <w:szCs w:val="24"/>
          <w:lang w:val="el-GR" w:eastAsia="en-GB"/>
        </w:rPr>
        <w:t>Κατά τον 19ο αιώνα η Κομεντί Φρανσαίζ γνώρισε μεγάλη επιτυχία, με τους διασημότερους ηθοποιούς να παίζουν το κλασσικό αλλά και το σύγχρονο ρεπερτόριο. Από το 1979 εγκαινιάστηκε νέο πνεύμα με την παραγωγή ολοένα και περισσότερο σύγχρονου ρεπερτορίου και νέων σκηνοθετικών αντιλήψεων.</w:t>
      </w:r>
      <w:r w:rsidRPr="00D42D3E">
        <w:rPr>
          <w:rFonts w:ascii="Arial" w:eastAsia="Times New Roman" w:hAnsi="Arial" w:cs="Arial"/>
          <w:color w:val="202122"/>
          <w:sz w:val="24"/>
          <w:szCs w:val="24"/>
          <w:lang w:val="el-GR" w:eastAsia="en-GB"/>
        </w:rPr>
        <w:t xml:space="preserve"> </w:t>
      </w:r>
    </w:p>
    <w:p w14:paraId="348714B8" w14:textId="3D32A4B2" w:rsidR="00D42D3E" w:rsidRDefault="00D42D3E" w:rsidP="00D42D3E">
      <w:pPr>
        <w:spacing w:before="120" w:after="120" w:line="240" w:lineRule="auto"/>
        <w:rPr>
          <w:rFonts w:ascii="Arial" w:eastAsia="Times New Roman" w:hAnsi="Arial" w:cs="Arial"/>
          <w:color w:val="202122"/>
          <w:sz w:val="24"/>
          <w:szCs w:val="24"/>
          <w:lang w:val="el-GR" w:eastAsia="en-GB"/>
        </w:rPr>
      </w:pPr>
    </w:p>
    <w:p w14:paraId="5AE50FF0" w14:textId="77777777" w:rsidR="00D42D3E" w:rsidRPr="00D42D3E" w:rsidRDefault="00D42D3E" w:rsidP="00D42D3E">
      <w:pPr>
        <w:spacing w:before="120" w:after="120" w:line="240" w:lineRule="auto"/>
        <w:rPr>
          <w:rFonts w:ascii="Arial" w:eastAsia="Times New Roman" w:hAnsi="Arial" w:cs="Arial"/>
          <w:color w:val="202122"/>
          <w:sz w:val="24"/>
          <w:szCs w:val="24"/>
          <w:lang w:val="el-GR" w:eastAsia="en-GB"/>
        </w:rPr>
      </w:pPr>
    </w:p>
    <w:sectPr w:rsidR="00D42D3E" w:rsidRPr="00D42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3E"/>
    <w:rsid w:val="00D42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86E5"/>
  <w15:chartTrackingRefBased/>
  <w15:docId w15:val="{0442A033-55A5-4061-809A-47DA8BDC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21380">
      <w:bodyDiv w:val="1"/>
      <w:marLeft w:val="0"/>
      <w:marRight w:val="0"/>
      <w:marTop w:val="0"/>
      <w:marBottom w:val="0"/>
      <w:divBdr>
        <w:top w:val="none" w:sz="0" w:space="0" w:color="auto"/>
        <w:left w:val="none" w:sz="0" w:space="0" w:color="auto"/>
        <w:bottom w:val="none" w:sz="0" w:space="0" w:color="auto"/>
        <w:right w:val="none" w:sz="0" w:space="0" w:color="auto"/>
      </w:divBdr>
      <w:divsChild>
        <w:div w:id="1642466343">
          <w:marLeft w:val="0"/>
          <w:marRight w:val="0"/>
          <w:marTop w:val="0"/>
          <w:marBottom w:val="0"/>
          <w:divBdr>
            <w:top w:val="none" w:sz="0" w:space="0" w:color="auto"/>
            <w:left w:val="none" w:sz="0" w:space="0" w:color="auto"/>
            <w:bottom w:val="none" w:sz="0" w:space="0" w:color="auto"/>
            <w:right w:val="none" w:sz="0" w:space="0" w:color="auto"/>
          </w:divBdr>
        </w:div>
        <w:div w:id="1934778499">
          <w:marLeft w:val="0"/>
          <w:marRight w:val="0"/>
          <w:marTop w:val="0"/>
          <w:marBottom w:val="0"/>
          <w:divBdr>
            <w:top w:val="none" w:sz="0" w:space="0" w:color="auto"/>
            <w:left w:val="none" w:sz="0" w:space="0" w:color="auto"/>
            <w:bottom w:val="none" w:sz="0" w:space="0" w:color="auto"/>
            <w:right w:val="none" w:sz="0" w:space="0" w:color="auto"/>
          </w:divBdr>
          <w:divsChild>
            <w:div w:id="982809735">
              <w:marLeft w:val="0"/>
              <w:marRight w:val="0"/>
              <w:marTop w:val="0"/>
              <w:marBottom w:val="0"/>
              <w:divBdr>
                <w:top w:val="none" w:sz="0" w:space="0" w:color="auto"/>
                <w:left w:val="none" w:sz="0" w:space="0" w:color="auto"/>
                <w:bottom w:val="none" w:sz="0" w:space="0" w:color="auto"/>
                <w:right w:val="none" w:sz="0" w:space="0" w:color="auto"/>
              </w:divBdr>
              <w:divsChild>
                <w:div w:id="483276984">
                  <w:marLeft w:val="0"/>
                  <w:marRight w:val="0"/>
                  <w:marTop w:val="0"/>
                  <w:marBottom w:val="120"/>
                  <w:divBdr>
                    <w:top w:val="none" w:sz="0" w:space="0" w:color="auto"/>
                    <w:left w:val="none" w:sz="0" w:space="0" w:color="auto"/>
                    <w:bottom w:val="none" w:sz="0" w:space="0" w:color="auto"/>
                    <w:right w:val="none" w:sz="0" w:space="0" w:color="auto"/>
                  </w:divBdr>
                  <w:divsChild>
                    <w:div w:id="276327385">
                      <w:marLeft w:val="0"/>
                      <w:marRight w:val="0"/>
                      <w:marTop w:val="0"/>
                      <w:marBottom w:val="0"/>
                      <w:divBdr>
                        <w:top w:val="single" w:sz="6" w:space="2" w:color="C8CCD1"/>
                        <w:left w:val="single" w:sz="6" w:space="2" w:color="C8CCD1"/>
                        <w:bottom w:val="single" w:sz="6" w:space="2" w:color="C8CCD1"/>
                        <w:right w:val="single" w:sz="6" w:space="2" w:color="C8CCD1"/>
                      </w:divBdr>
                      <w:divsChild>
                        <w:div w:id="3880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F_%CE%BA%CE%B1%CF%84%CE%AC_%CF%86%CE%B1%CE%BD%CF%84%CE%B1%CF%83%CE%AF%CE%B1%CE%BD_%CE%B1%CF%83%CE%B8%CE%B5%CE%BD%CE%AE%CF%82" TargetMode="External"/><Relationship Id="rId13" Type="http://schemas.openxmlformats.org/officeDocument/2006/relationships/hyperlink" Target="https://el.wikipedia.org/wiki/%CE%A0%CF%89%CE%BB_%CE%A3%CE%BA%CE%B1%CF%81%CF%81%CF%8C%CE%BD" TargetMode="External"/><Relationship Id="rId18" Type="http://schemas.openxmlformats.org/officeDocument/2006/relationships/hyperlink" Target="https://el.wikipedia.org/wiki/%CE%9A%CE%BF%CE%BC%CE%B5%CE%BD%CF%84%CE%AF_%CE%A6%CF%81%CE%B1%CE%BD%CF%83%CE%B1%CE%AF%CE%B6" TargetMode="External"/><Relationship Id="rId3" Type="http://schemas.openxmlformats.org/officeDocument/2006/relationships/webSettings" Target="webSettings.xml"/><Relationship Id="rId7" Type="http://schemas.openxmlformats.org/officeDocument/2006/relationships/hyperlink" Target="https://el.wikipedia.org/wiki/%CE%9A%CE%BF%CE%BC%CE%B5%CE%BD%CF%84%CE%AF_%CE%A6%CF%81%CE%B1%CE%BD%CF%83%CE%B1%CE%AF%CE%B6" TargetMode="External"/><Relationship Id="rId12" Type="http://schemas.openxmlformats.org/officeDocument/2006/relationships/hyperlink" Target="https://el.wikipedia.org/wiki/%CE%A0%CE%B9%CE%B5%CF%81_%CE%9A%CE%BF%CF%81%CE%BD%CE%AD%CE%B9%CE%B3" TargetMode="External"/><Relationship Id="rId17" Type="http://schemas.openxmlformats.org/officeDocument/2006/relationships/hyperlink" Target="https://el.wikipedia.org/wiki/%CE%9D%CE%B1%CF%80%CE%BF%CE%BB%CE%AD%CF%89%CE%BD_%CE%91%CE%84" TargetMode="External"/><Relationship Id="rId2" Type="http://schemas.openxmlformats.org/officeDocument/2006/relationships/settings" Target="settings.xml"/><Relationship Id="rId16" Type="http://schemas.openxmlformats.org/officeDocument/2006/relationships/hyperlink" Target="https://el.wikipedia.org/wiki/%CE%A0%CE%B1%CE%BB%CE%B1%CE%AF_%CE%A1%CE%BF%CF%85%CE%B1%CE%B3%CE%B9%CE%AC%CE%B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wikipedia.org/wiki/%CE%9C%CE%BF%CE%BB%CE%B9%CE%AD%CF%81%CE%BF%CF%82" TargetMode="External"/><Relationship Id="rId11" Type="http://schemas.openxmlformats.org/officeDocument/2006/relationships/hyperlink" Target="https://el.wikipedia.org/wiki/%CE%9C%CE%BF%CE%BB%CE%B9%CE%AD%CF%81%CE%BF%CF%82" TargetMode="External"/><Relationship Id="rId5" Type="http://schemas.openxmlformats.org/officeDocument/2006/relationships/hyperlink" Target="https://el.wikipedia.org/wiki/1%CE%BF_%CE%B4%CE%B9%CE%B1%CE%BC%CE%AD%CF%81%CE%B9%CF%83%CE%BC%CE%B1_%CF%84%CE%BF%CF%85_%CE%A0%CE%B1%CF%81%CE%B9%CF%83%CE%B9%CE%BF%CF%8D" TargetMode="External"/><Relationship Id="rId15" Type="http://schemas.openxmlformats.org/officeDocument/2006/relationships/hyperlink" Target="https://el.wikipedia.org/wiki/%CE%95%CF%80%CE%B9%CF%84%CF%81%CE%BF%CF%80%CE%AE_%CE%9A%CE%BF%CE%B9%CE%BD%CE%AE%CF%82_%CE%A3%CF%89%CF%84%CE%B7%CF%81%CE%AF%CE%B1%CF%82" TargetMode="External"/><Relationship Id="rId10" Type="http://schemas.openxmlformats.org/officeDocument/2006/relationships/hyperlink" Target="https://el.wikipedia.org/wiki/%CE%A1%CE%B1%CE%BA%CE%AF%CE%BD%CE%B1%CF%82" TargetMode="External"/><Relationship Id="rId19" Type="http://schemas.openxmlformats.org/officeDocument/2006/relationships/fontTable" Target="fontTable.xml"/><Relationship Id="rId4" Type="http://schemas.openxmlformats.org/officeDocument/2006/relationships/hyperlink" Target="https://el.wikipedia.org/wiki/%CE%A0%CE%B1%CE%BB%CE%B1%CE%AF_%CE%A1%CE%BF%CF%85%CE%B1%CE%B3%CE%B9%CE%AC%CE%BB" TargetMode="External"/><Relationship Id="rId9" Type="http://schemas.openxmlformats.org/officeDocument/2006/relationships/hyperlink" Target="https://el.wikipedia.org/wiki/%CE%9B%CE%BF%CF%85%CE%B4%CE%BF%CE%B2%CE%AF%CE%BA%CE%BF%CF%82_%CE%99%CE%94%CE%84_%CF%84%CE%B7%CF%82_%CE%93%CE%B1%CE%BB%CE%BB%CE%AF%CE%B1%CF%82" TargetMode="External"/><Relationship Id="rId14" Type="http://schemas.openxmlformats.org/officeDocument/2006/relationships/hyperlink" Target="https://el.wikipedia.org/wiki/%CE%93%CE%B1%CE%BB%CE%BB%CE%B9%CE%BA%CE%AE_%CE%95%CF%80%CE%B1%CE%BD%CE%AC%CF%83%CF%84%CE%B1%CF%83%CE%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2020-12-01T08:31:00Z</dcterms:created>
  <dcterms:modified xsi:type="dcterms:W3CDTF">2020-12-01T08:35:00Z</dcterms:modified>
</cp:coreProperties>
</file>